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left="-485" w:leftChars="-202"/>
        <w:rPr>
          <w:rFonts w:ascii="等线" w:hAnsi="等线" w:eastAsia="等线"/>
          <w:sz w:val="21"/>
          <w:szCs w:val="22"/>
        </w:rPr>
      </w:pPr>
      <w:bookmarkStart w:id="40" w:name="_GoBack"/>
      <w:bookmarkEnd w:id="40"/>
      <w:r>
        <mc:AlternateContent>
          <mc:Choice Requires="wps">
            <w:drawing>
              <wp:anchor distT="0" distB="0" distL="114300" distR="114300" simplePos="0" relativeHeight="251667456" behindDoc="0" locked="0" layoutInCell="1" allowOverlap="1">
                <wp:simplePos x="0" y="0"/>
                <wp:positionH relativeFrom="column">
                  <wp:posOffset>-179070</wp:posOffset>
                </wp:positionH>
                <wp:positionV relativeFrom="paragraph">
                  <wp:posOffset>46355</wp:posOffset>
                </wp:positionV>
                <wp:extent cx="6148705" cy="17780"/>
                <wp:effectExtent l="49530" t="50165" r="50165" b="46355"/>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flipV="1">
                          <a:off x="0" y="0"/>
                          <a:ext cx="6148705" cy="17780"/>
                        </a:xfrm>
                        <a:prstGeom prst="line">
                          <a:avLst/>
                        </a:prstGeom>
                        <a:noFill/>
                        <a:ln w="82550" cmpd="thinThick">
                          <a:solidFill>
                            <a:srgbClr val="000000"/>
                          </a:solidFill>
                          <a:round/>
                        </a:ln>
                      </wps:spPr>
                      <wps:bodyPr/>
                    </wps:wsp>
                  </a:graphicData>
                </a:graphic>
              </wp:anchor>
            </w:drawing>
          </mc:Choice>
          <mc:Fallback>
            <w:pict>
              <v:line id="_x0000_s1026" o:spid="_x0000_s1026" o:spt="20" style="position:absolute;left:0pt;flip:y;margin-left:-14.1pt;margin-top:3.65pt;height:1.4pt;width:484.15pt;z-index:251667456;mso-width-relative:page;mso-height-relative:page;" filled="f" stroked="t" coordsize="21600,21600" o:gfxdata="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t9zj/YAAAACAEAAA8AAAAAAAAAAQAgAAAAIgAAAGRycy9kb3ducmV2&#10;LnhtbFBLAQIUABQAAAAIAIdO4kCb382a/AEAAMoDAAAOAAAAAAAAAAEAIAAAACcBAABkcnMvZTJv&#10;RG9jLnhtbFBLBQYAAAAABgAGAFkBAACVBQAAAAA=&#10;">
                <v:fill on="f" focussize="0,0"/>
                <v:stroke weight="6.5pt" color="#000000" linestyle="thinThick" joinstyle="round"/>
                <v:imagedata o:title=""/>
                <o:lock v:ext="edit" aspectratio="f"/>
              </v:line>
            </w:pict>
          </mc:Fallback>
        </mc:AlternateContent>
      </w:r>
    </w:p>
    <w:p>
      <w:pPr>
        <w:spacing w:line="0" w:lineRule="atLeast"/>
        <w:jc w:val="center"/>
        <w:rPr>
          <w:b/>
          <w:color w:val="000000"/>
          <w:sz w:val="36"/>
          <w:szCs w:val="36"/>
        </w:rPr>
      </w:pPr>
    </w:p>
    <w:p>
      <w:pPr>
        <w:spacing w:line="0" w:lineRule="atLeast"/>
        <w:jc w:val="center"/>
        <w:rPr>
          <w:b/>
          <w:color w:val="000000"/>
          <w:sz w:val="36"/>
          <w:szCs w:val="36"/>
        </w:rPr>
      </w:pPr>
    </w:p>
    <w:p>
      <w:pPr>
        <w:spacing w:line="0" w:lineRule="atLeast"/>
        <w:rPr>
          <w:b/>
          <w:color w:val="000000"/>
          <w:sz w:val="36"/>
          <w:szCs w:val="36"/>
        </w:rPr>
      </w:pPr>
    </w:p>
    <w:p>
      <w:pPr>
        <w:spacing w:line="0" w:lineRule="atLeast"/>
        <w:jc w:val="center"/>
        <w:rPr>
          <w:b/>
          <w:color w:val="000000"/>
          <w:sz w:val="48"/>
          <w:szCs w:val="48"/>
        </w:rPr>
      </w:pPr>
      <w:r>
        <w:rPr>
          <w:b/>
          <w:color w:val="000000"/>
          <w:sz w:val="48"/>
          <w:szCs w:val="48"/>
        </w:rPr>
        <w:t>核技术利用建设项目</w:t>
      </w:r>
    </w:p>
    <w:p>
      <w:pPr>
        <w:spacing w:line="0" w:lineRule="atLeast"/>
        <w:jc w:val="center"/>
        <w:rPr>
          <w:b/>
          <w:color w:val="000000"/>
          <w:sz w:val="48"/>
          <w:szCs w:val="48"/>
        </w:rPr>
      </w:pPr>
    </w:p>
    <w:p>
      <w:pPr>
        <w:spacing w:line="0" w:lineRule="atLeast"/>
        <w:jc w:val="center"/>
        <w:rPr>
          <w:b/>
          <w:snapToGrid w:val="0"/>
          <w:color w:val="000000"/>
          <w:spacing w:val="-20"/>
          <w:kern w:val="0"/>
          <w:sz w:val="48"/>
          <w:szCs w:val="48"/>
        </w:rPr>
      </w:pPr>
      <w:r>
        <w:rPr>
          <w:rFonts w:hint="eastAsia"/>
          <w:b/>
          <w:snapToGrid w:val="0"/>
          <w:color w:val="000000"/>
          <w:spacing w:val="-20"/>
          <w:kern w:val="0"/>
          <w:sz w:val="48"/>
          <w:szCs w:val="48"/>
        </w:rPr>
        <w:t>通用环球中铁西安医院</w:t>
      </w:r>
    </w:p>
    <w:p>
      <w:pPr>
        <w:tabs>
          <w:tab w:val="center" w:pos="4153"/>
          <w:tab w:val="right" w:pos="8306"/>
        </w:tabs>
        <w:adjustRightInd w:val="0"/>
        <w:snapToGrid w:val="0"/>
        <w:ind w:right="-46" w:rightChars="-19"/>
        <w:jc w:val="center"/>
        <w:rPr>
          <w:b/>
          <w:snapToGrid w:val="0"/>
          <w:color w:val="000000"/>
          <w:spacing w:val="-20"/>
          <w:kern w:val="0"/>
          <w:sz w:val="48"/>
          <w:szCs w:val="48"/>
        </w:rPr>
      </w:pPr>
      <w:bookmarkStart w:id="0" w:name="_Hlk107394092"/>
      <w:bookmarkStart w:id="1" w:name="_Hlk107394245"/>
      <w:r>
        <w:rPr>
          <w:rFonts w:hint="eastAsia"/>
          <w:b/>
          <w:snapToGrid w:val="0"/>
          <w:color w:val="000000"/>
          <w:spacing w:val="-20"/>
          <w:kern w:val="0"/>
          <w:sz w:val="48"/>
          <w:szCs w:val="48"/>
        </w:rPr>
        <w:t>数字减影血管造影</w:t>
      </w:r>
      <w:bookmarkEnd w:id="0"/>
      <w:r>
        <w:rPr>
          <w:rFonts w:hint="eastAsia"/>
          <w:b/>
          <w:snapToGrid w:val="0"/>
          <w:color w:val="000000"/>
          <w:spacing w:val="-20"/>
          <w:kern w:val="0"/>
          <w:sz w:val="48"/>
          <w:szCs w:val="48"/>
        </w:rPr>
        <w:t>机</w:t>
      </w:r>
      <w:r>
        <w:rPr>
          <w:b/>
          <w:snapToGrid w:val="0"/>
          <w:color w:val="000000"/>
          <w:spacing w:val="-20"/>
          <w:kern w:val="0"/>
          <w:sz w:val="48"/>
          <w:szCs w:val="48"/>
        </w:rPr>
        <w:t>核技术利用项目</w:t>
      </w:r>
    </w:p>
    <w:bookmarkEnd w:id="1"/>
    <w:p>
      <w:pPr>
        <w:spacing w:before="624" w:beforeLines="200" w:line="640" w:lineRule="exact"/>
        <w:ind w:right="-293" w:rightChars="-122"/>
        <w:jc w:val="center"/>
        <w:rPr>
          <w:rFonts w:ascii="华文行楷" w:eastAsia="华文行楷"/>
          <w:spacing w:val="40"/>
          <w:w w:val="90"/>
          <w:sz w:val="96"/>
          <w:szCs w:val="96"/>
          <w:lang w:val="en-GB"/>
        </w:rPr>
      </w:pPr>
      <w:r>
        <w:rPr>
          <w:rFonts w:hint="eastAsia" w:ascii="华文行楷" w:hAnsi="宋体" w:eastAsia="华文行楷"/>
          <w:sz w:val="96"/>
          <w:szCs w:val="96"/>
        </w:rPr>
        <w:t>环境影响报告表</w:t>
      </w:r>
    </w:p>
    <w:p>
      <w:pPr>
        <w:spacing w:line="0" w:lineRule="atLeast"/>
        <w:jc w:val="center"/>
        <w:rPr>
          <w:b/>
          <w:color w:val="000000"/>
          <w:sz w:val="44"/>
          <w:szCs w:val="44"/>
        </w:rPr>
      </w:pPr>
    </w:p>
    <w:p>
      <w:pPr>
        <w:spacing w:line="0" w:lineRule="atLeast"/>
        <w:jc w:val="center"/>
        <w:rPr>
          <w:b/>
          <w:color w:val="000000"/>
          <w:sz w:val="48"/>
          <w:szCs w:val="48"/>
        </w:rPr>
      </w:pPr>
    </w:p>
    <w:p>
      <w:pPr>
        <w:spacing w:line="0" w:lineRule="atLeast"/>
        <w:jc w:val="center"/>
        <w:rPr>
          <w:b/>
          <w:color w:val="000000"/>
          <w:sz w:val="48"/>
          <w:szCs w:val="48"/>
        </w:rPr>
      </w:pPr>
    </w:p>
    <w:p>
      <w:pPr>
        <w:spacing w:line="0" w:lineRule="atLeast"/>
        <w:jc w:val="center"/>
        <w:rPr>
          <w:b/>
          <w:color w:val="000000"/>
          <w:sz w:val="48"/>
          <w:szCs w:val="48"/>
        </w:rPr>
      </w:pPr>
    </w:p>
    <w:p>
      <w:pPr>
        <w:spacing w:line="0" w:lineRule="atLeast"/>
        <w:jc w:val="center"/>
        <w:rPr>
          <w:b/>
          <w:color w:val="000000"/>
          <w:sz w:val="48"/>
          <w:szCs w:val="48"/>
        </w:rPr>
      </w:pPr>
    </w:p>
    <w:p>
      <w:pPr>
        <w:spacing w:line="0" w:lineRule="atLeast"/>
        <w:jc w:val="center"/>
        <w:rPr>
          <w:b/>
          <w:color w:val="000000"/>
          <w:sz w:val="48"/>
          <w:szCs w:val="48"/>
        </w:rPr>
      </w:pPr>
    </w:p>
    <w:p>
      <w:pPr>
        <w:spacing w:line="0" w:lineRule="atLeast"/>
        <w:jc w:val="center"/>
        <w:rPr>
          <w:b/>
          <w:color w:val="000000"/>
          <w:sz w:val="48"/>
          <w:szCs w:val="48"/>
        </w:rPr>
      </w:pPr>
    </w:p>
    <w:p>
      <w:pPr>
        <w:spacing w:line="0" w:lineRule="atLeast"/>
        <w:jc w:val="center"/>
        <w:rPr>
          <w:b/>
          <w:color w:val="000000"/>
          <w:sz w:val="48"/>
          <w:szCs w:val="48"/>
        </w:rPr>
      </w:pPr>
    </w:p>
    <w:p>
      <w:pPr>
        <w:spacing w:line="0" w:lineRule="atLeast"/>
        <w:rPr>
          <w:b/>
          <w:color w:val="000000"/>
          <w:sz w:val="48"/>
          <w:szCs w:val="48"/>
        </w:rPr>
      </w:pPr>
    </w:p>
    <w:p>
      <w:pPr>
        <w:spacing w:after="120"/>
        <w:ind w:firstLine="480"/>
        <w:rPr>
          <w:rFonts w:eastAsia="等线"/>
        </w:rPr>
      </w:pPr>
    </w:p>
    <w:p>
      <w:pPr>
        <w:spacing w:line="360" w:lineRule="auto"/>
        <w:ind w:firstLine="320" w:firstLineChars="100"/>
        <w:rPr>
          <w:rFonts w:ascii="黑体" w:hAnsi="宋体" w:eastAsia="黑体"/>
          <w:sz w:val="32"/>
          <w:szCs w:val="32"/>
        </w:rPr>
      </w:pPr>
      <w:r>
        <w:rPr>
          <w:rFonts w:hint="eastAsia" w:ascii="黑体" w:hAnsi="宋体" w:eastAsia="黑体"/>
          <w:sz w:val="32"/>
          <w:szCs w:val="32"/>
        </w:rPr>
        <w:t>建设单位：通用环球中铁西安医院</w:t>
      </w:r>
    </w:p>
    <w:p>
      <w:pPr>
        <w:spacing w:line="360" w:lineRule="auto"/>
        <w:ind w:firstLine="320" w:firstLineChars="100"/>
        <w:rPr>
          <w:rFonts w:hint="eastAsia" w:ascii="黑体" w:eastAsia="黑体"/>
          <w:spacing w:val="42"/>
          <w:sz w:val="32"/>
          <w:szCs w:val="32"/>
          <w:lang w:eastAsia="zh-CN"/>
        </w:rPr>
      </w:pPr>
      <w:r>
        <w:rPr>
          <w:rFonts w:hint="eastAsia" w:ascii="黑体" w:eastAsia="黑体"/>
          <w:sz w:val="32"/>
          <w:szCs w:val="32"/>
        </w:rPr>
        <w:t>评价单位：</w:t>
      </w:r>
      <w:r>
        <w:rPr>
          <w:rFonts w:hint="eastAsia" w:ascii="黑体" w:eastAsia="黑体"/>
          <w:sz w:val="32"/>
          <w:szCs w:val="32"/>
          <w:lang w:eastAsia="zh-CN"/>
        </w:rPr>
        <w:t>陕西经纬科技发展有限责任公司</w:t>
      </w:r>
    </w:p>
    <w:p>
      <w:pPr>
        <w:spacing w:line="0" w:lineRule="atLeast"/>
        <w:ind w:firstLine="320" w:firstLineChars="100"/>
        <w:rPr>
          <w:color w:val="000000"/>
          <w:sz w:val="72"/>
        </w:rPr>
        <w:sectPr>
          <w:headerReference r:id="rId3" w:type="default"/>
          <w:pgSz w:w="11906" w:h="16838"/>
          <w:pgMar w:top="1440" w:right="1440" w:bottom="1440" w:left="144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r>
        <w:rPr>
          <w:rFonts w:hint="eastAsia" w:ascii="黑体" w:eastAsia="黑体"/>
          <w:sz w:val="32"/>
          <w:szCs w:val="32"/>
          <w:lang w:val="en-GB"/>
        </w:rPr>
        <w:t>编制日期：二</w:t>
      </w:r>
      <w:r>
        <w:rPr>
          <w:rFonts w:hint="eastAsia" w:ascii="黑体" w:eastAsia="黑体"/>
          <w:sz w:val="32"/>
          <w:szCs w:val="32"/>
        </w:rPr>
        <w:t>○二三</w:t>
      </w:r>
      <w:r>
        <w:rPr>
          <w:rFonts w:hint="eastAsia" w:ascii="黑体" w:eastAsia="黑体"/>
          <w:sz w:val="32"/>
          <w:szCs w:val="32"/>
          <w:lang w:val="en-GB"/>
        </w:rPr>
        <w:t>年八月</w:t>
      </w:r>
    </w:p>
    <w:p>
      <w:pPr>
        <w:spacing w:before="120"/>
        <w:jc w:val="center"/>
        <w:rPr>
          <w:rFonts w:hAnsi="宋体"/>
          <w:b/>
          <w:sz w:val="52"/>
          <w:szCs w:val="52"/>
        </w:rPr>
      </w:pPr>
    </w:p>
    <w:p>
      <w:pPr>
        <w:spacing w:before="120"/>
        <w:jc w:val="center"/>
        <w:rPr>
          <w:rFonts w:hAnsi="宋体"/>
          <w:b/>
          <w:sz w:val="52"/>
          <w:szCs w:val="52"/>
        </w:rPr>
      </w:pPr>
    </w:p>
    <w:p>
      <w:pPr>
        <w:spacing w:before="120"/>
        <w:jc w:val="center"/>
        <w:rPr>
          <w:rFonts w:hAnsi="宋体"/>
          <w:b/>
          <w:sz w:val="72"/>
          <w:szCs w:val="72"/>
        </w:rPr>
      </w:pPr>
      <w:r>
        <w:rPr>
          <w:rFonts w:hAnsi="宋体"/>
          <w:b/>
          <w:sz w:val="72"/>
          <w:szCs w:val="72"/>
        </w:rPr>
        <w:t>建设项目环境影响</w:t>
      </w:r>
      <w:r>
        <w:rPr>
          <w:rFonts w:hint="eastAsia" w:hAnsi="宋体"/>
          <w:b/>
          <w:sz w:val="72"/>
          <w:szCs w:val="72"/>
        </w:rPr>
        <w:t>报告</w:t>
      </w:r>
      <w:r>
        <w:rPr>
          <w:rFonts w:hAnsi="宋体"/>
          <w:b/>
          <w:sz w:val="72"/>
          <w:szCs w:val="72"/>
        </w:rPr>
        <w:t>表</w:t>
      </w:r>
    </w:p>
    <w:p>
      <w:pPr>
        <w:rPr>
          <w:sz w:val="21"/>
        </w:rPr>
      </w:pPr>
    </w:p>
    <w:p>
      <w:pPr>
        <w:rPr>
          <w:sz w:val="21"/>
        </w:rPr>
      </w:pPr>
      <w:r>
        <w:rPr>
          <w:rFonts w:hint="eastAsia"/>
          <w:sz w:val="21"/>
        </w:rPr>
        <w:t xml:space="preserve"> </w:t>
      </w:r>
      <w:r>
        <w:rPr>
          <w:sz w:val="21"/>
        </w:rPr>
        <w:t xml:space="preserve"> </w:t>
      </w: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adjustRightInd w:val="0"/>
        <w:snapToGrid w:val="0"/>
        <w:spacing w:line="360" w:lineRule="auto"/>
        <w:ind w:firstLine="140" w:firstLineChars="50"/>
        <w:rPr>
          <w:rFonts w:ascii="楷体" w:hAnsi="楷体" w:eastAsia="楷体"/>
          <w:b/>
          <w:bCs/>
          <w:sz w:val="28"/>
          <w:szCs w:val="28"/>
          <w:u w:val="single"/>
        </w:rPr>
      </w:pPr>
      <w:r>
        <w:rPr>
          <w:rFonts w:hint="eastAsia" w:hAnsi="黑体" w:eastAsia="黑体"/>
          <w:sz w:val="28"/>
          <w:szCs w:val="28"/>
        </w:rPr>
        <w:t xml:space="preserve">项 目 名 称： </w:t>
      </w:r>
      <w:r>
        <w:rPr>
          <w:rFonts w:hAnsi="黑体" w:eastAsia="黑体"/>
          <w:sz w:val="28"/>
          <w:szCs w:val="28"/>
          <w:u w:val="single"/>
        </w:rPr>
        <w:t xml:space="preserve">    </w:t>
      </w:r>
      <w:r>
        <w:rPr>
          <w:rFonts w:hint="eastAsia" w:ascii="楷体" w:hAnsi="楷体" w:eastAsia="楷体"/>
          <w:b/>
          <w:bCs/>
          <w:sz w:val="28"/>
          <w:szCs w:val="28"/>
          <w:u w:val="single"/>
        </w:rPr>
        <w:t xml:space="preserve">通用环球中铁西安医院数字减影血管造影机  </w:t>
      </w:r>
      <w:r>
        <w:rPr>
          <w:rFonts w:ascii="楷体" w:hAnsi="楷体" w:eastAsia="楷体"/>
          <w:b/>
          <w:bCs/>
          <w:sz w:val="28"/>
          <w:szCs w:val="28"/>
          <w:u w:val="single"/>
        </w:rPr>
        <w:t xml:space="preserve">  </w:t>
      </w:r>
    </w:p>
    <w:p>
      <w:pPr>
        <w:adjustRightInd w:val="0"/>
        <w:snapToGrid w:val="0"/>
        <w:spacing w:line="360" w:lineRule="auto"/>
        <w:ind w:firstLine="2108" w:firstLineChars="750"/>
        <w:rPr>
          <w:rFonts w:ascii="楷体" w:hAnsi="楷体" w:eastAsia="楷体"/>
          <w:b/>
          <w:bCs/>
          <w:sz w:val="28"/>
          <w:szCs w:val="28"/>
          <w:u w:val="single"/>
        </w:rPr>
      </w:pPr>
      <w:r>
        <w:rPr>
          <w:rFonts w:hint="eastAsia" w:ascii="楷体" w:hAnsi="楷体" w:eastAsia="楷体"/>
          <w:b/>
          <w:bCs/>
          <w:sz w:val="28"/>
          <w:szCs w:val="28"/>
          <w:u w:val="single"/>
        </w:rPr>
        <w:t xml:space="preserve"> </w:t>
      </w:r>
      <w:r>
        <w:rPr>
          <w:rFonts w:ascii="楷体" w:hAnsi="楷体" w:eastAsia="楷体"/>
          <w:b/>
          <w:bCs/>
          <w:sz w:val="28"/>
          <w:szCs w:val="28"/>
          <w:u w:val="single"/>
        </w:rPr>
        <w:t xml:space="preserve">               </w:t>
      </w:r>
      <w:r>
        <w:rPr>
          <w:rFonts w:hint="eastAsia" w:ascii="楷体" w:hAnsi="楷体" w:eastAsia="楷体"/>
          <w:b/>
          <w:bCs/>
          <w:sz w:val="28"/>
          <w:szCs w:val="28"/>
          <w:u w:val="single"/>
        </w:rPr>
        <w:t xml:space="preserve">核技术利用项目 </w:t>
      </w:r>
      <w:r>
        <w:rPr>
          <w:rFonts w:ascii="楷体" w:hAnsi="楷体" w:eastAsia="楷体"/>
          <w:b/>
          <w:bCs/>
          <w:sz w:val="28"/>
          <w:szCs w:val="28"/>
          <w:u w:val="single"/>
        </w:rPr>
        <w:t xml:space="preserve">              </w:t>
      </w:r>
      <w:r>
        <w:rPr>
          <w:rFonts w:hint="eastAsia" w:ascii="楷体" w:hAnsi="楷体" w:eastAsia="楷体"/>
          <w:b/>
          <w:bCs/>
          <w:sz w:val="28"/>
          <w:szCs w:val="28"/>
          <w:u w:val="single"/>
        </w:rPr>
        <w:t xml:space="preserve"> </w:t>
      </w:r>
    </w:p>
    <w:p>
      <w:pPr>
        <w:adjustRightInd w:val="0"/>
        <w:snapToGrid w:val="0"/>
        <w:spacing w:line="360" w:lineRule="auto"/>
        <w:ind w:firstLine="140" w:firstLineChars="50"/>
        <w:rPr>
          <w:rFonts w:ascii="楷体" w:hAnsi="楷体" w:eastAsia="楷体"/>
          <w:b/>
          <w:bCs/>
          <w:sz w:val="28"/>
          <w:szCs w:val="28"/>
          <w:u w:val="single"/>
        </w:rPr>
      </w:pPr>
      <w:r>
        <w:rPr>
          <w:rFonts w:hAnsi="黑体" w:eastAsia="黑体"/>
          <w:sz w:val="28"/>
          <w:szCs w:val="28"/>
        </w:rPr>
        <w:t>建设单位</w:t>
      </w:r>
      <w:r>
        <w:rPr>
          <w:rFonts w:eastAsia="黑体"/>
          <w:sz w:val="28"/>
          <w:szCs w:val="28"/>
        </w:rPr>
        <w:t>(</w:t>
      </w:r>
      <w:r>
        <w:rPr>
          <w:rFonts w:hAnsi="黑体" w:eastAsia="黑体"/>
          <w:sz w:val="28"/>
          <w:szCs w:val="28"/>
        </w:rPr>
        <w:t>盖章</w:t>
      </w:r>
      <w:r>
        <w:rPr>
          <w:rFonts w:eastAsia="黑体"/>
          <w:sz w:val="28"/>
          <w:szCs w:val="28"/>
        </w:rPr>
        <w:t>)</w:t>
      </w:r>
      <w:r>
        <w:rPr>
          <w:rFonts w:hAnsi="黑体" w:eastAsia="黑体"/>
          <w:sz w:val="28"/>
          <w:szCs w:val="28"/>
        </w:rPr>
        <w:t xml:space="preserve"> </w:t>
      </w:r>
      <w:r>
        <w:rPr>
          <w:rFonts w:hint="eastAsia" w:ascii="楷体" w:hAnsi="楷体" w:eastAsia="楷体"/>
          <w:b/>
          <w:bCs/>
          <w:sz w:val="28"/>
          <w:szCs w:val="28"/>
          <w:u w:val="single"/>
        </w:rPr>
        <w:t xml:space="preserve"> </w:t>
      </w:r>
      <w:r>
        <w:rPr>
          <w:rFonts w:ascii="楷体" w:hAnsi="楷体" w:eastAsia="楷体"/>
          <w:b/>
          <w:bCs/>
          <w:sz w:val="28"/>
          <w:szCs w:val="28"/>
          <w:u w:val="single"/>
        </w:rPr>
        <w:t xml:space="preserve">            </w:t>
      </w:r>
      <w:r>
        <w:rPr>
          <w:rFonts w:hint="eastAsia" w:ascii="楷体" w:hAnsi="楷体" w:eastAsia="楷体"/>
          <w:b/>
          <w:bCs/>
          <w:sz w:val="28"/>
          <w:szCs w:val="28"/>
          <w:u w:val="single"/>
        </w:rPr>
        <w:t xml:space="preserve">通用环球中铁西安医院 </w:t>
      </w:r>
      <w:r>
        <w:rPr>
          <w:rFonts w:ascii="楷体" w:hAnsi="楷体" w:eastAsia="楷体"/>
          <w:b/>
          <w:bCs/>
          <w:sz w:val="28"/>
          <w:szCs w:val="28"/>
          <w:u w:val="single"/>
        </w:rPr>
        <w:t xml:space="preserve">            </w:t>
      </w:r>
    </w:p>
    <w:p>
      <w:pPr>
        <w:adjustRightInd w:val="0"/>
        <w:snapToGrid w:val="0"/>
        <w:spacing w:line="360" w:lineRule="auto"/>
        <w:rPr>
          <w:rFonts w:ascii="楷体" w:hAnsi="楷体" w:eastAsia="楷体"/>
          <w:b/>
          <w:bCs/>
          <w:sz w:val="32"/>
          <w:szCs w:val="28"/>
          <w:u w:val="single"/>
        </w:rPr>
      </w:pPr>
    </w:p>
    <w:p>
      <w:pPr>
        <w:adjustRightInd w:val="0"/>
        <w:snapToGrid w:val="0"/>
        <w:spacing w:line="480" w:lineRule="auto"/>
        <w:ind w:firstLine="161" w:firstLineChars="50"/>
        <w:rPr>
          <w:rFonts w:hAnsi="宋体"/>
          <w:b/>
          <w:sz w:val="32"/>
          <w:szCs w:val="28"/>
          <w:u w:val="single"/>
        </w:rPr>
      </w:pPr>
    </w:p>
    <w:p>
      <w:pPr>
        <w:adjustRightInd w:val="0"/>
        <w:snapToGrid w:val="0"/>
        <w:spacing w:line="480" w:lineRule="auto"/>
        <w:ind w:firstLine="161" w:firstLineChars="50"/>
        <w:rPr>
          <w:rFonts w:hAnsi="宋体"/>
          <w:b/>
          <w:sz w:val="32"/>
          <w:szCs w:val="28"/>
          <w:u w:val="single"/>
        </w:rPr>
      </w:pPr>
    </w:p>
    <w:p>
      <w:pPr>
        <w:adjustRightInd w:val="0"/>
        <w:snapToGrid w:val="0"/>
        <w:spacing w:line="480" w:lineRule="auto"/>
        <w:rPr>
          <w:rFonts w:hAnsi="宋体"/>
          <w:b/>
          <w:sz w:val="32"/>
          <w:szCs w:val="28"/>
          <w:u w:val="single"/>
        </w:rPr>
      </w:pPr>
    </w:p>
    <w:p>
      <w:pPr>
        <w:adjustRightInd w:val="0"/>
        <w:snapToGrid w:val="0"/>
        <w:spacing w:line="480" w:lineRule="auto"/>
        <w:rPr>
          <w:rFonts w:hAnsi="宋体"/>
          <w:b/>
          <w:sz w:val="32"/>
          <w:szCs w:val="28"/>
          <w:u w:val="single"/>
        </w:rPr>
      </w:pPr>
    </w:p>
    <w:p>
      <w:pPr>
        <w:spacing w:before="120"/>
        <w:jc w:val="center"/>
        <w:rPr>
          <w:rFonts w:ascii="楷体" w:hAnsi="楷体" w:eastAsia="楷体"/>
          <w:b/>
          <w:bCs/>
          <w:sz w:val="36"/>
          <w:szCs w:val="36"/>
        </w:rPr>
      </w:pPr>
    </w:p>
    <w:p>
      <w:pPr>
        <w:spacing w:line="0" w:lineRule="atLeast"/>
        <w:rPr>
          <w:b/>
          <w:color w:val="000000"/>
          <w:sz w:val="36"/>
          <w:szCs w:val="36"/>
        </w:rPr>
      </w:pPr>
    </w:p>
    <w:p>
      <w:pPr>
        <w:spacing w:line="0" w:lineRule="atLeast"/>
        <w:jc w:val="center"/>
        <w:rPr>
          <w:b/>
          <w:color w:val="000000"/>
          <w:sz w:val="48"/>
          <w:szCs w:val="48"/>
        </w:rPr>
      </w:pPr>
      <w:r>
        <w:rPr>
          <w:b/>
          <w:color w:val="000000"/>
          <w:sz w:val="48"/>
          <w:szCs w:val="48"/>
        </w:rPr>
        <w:t>核技术利用建设项目</w:t>
      </w:r>
    </w:p>
    <w:p>
      <w:pPr>
        <w:spacing w:line="0" w:lineRule="atLeast"/>
        <w:jc w:val="center"/>
        <w:rPr>
          <w:b/>
          <w:color w:val="000000"/>
          <w:sz w:val="44"/>
          <w:szCs w:val="44"/>
        </w:rPr>
      </w:pPr>
    </w:p>
    <w:p>
      <w:pPr>
        <w:spacing w:line="0" w:lineRule="atLeast"/>
        <w:jc w:val="center"/>
        <w:rPr>
          <w:b/>
          <w:color w:val="000000"/>
          <w:sz w:val="36"/>
          <w:szCs w:val="36"/>
        </w:rPr>
      </w:pPr>
    </w:p>
    <w:p>
      <w:pPr>
        <w:spacing w:line="0" w:lineRule="atLeast"/>
        <w:jc w:val="center"/>
        <w:rPr>
          <w:b/>
          <w:color w:val="000000"/>
          <w:sz w:val="36"/>
          <w:szCs w:val="36"/>
        </w:rPr>
      </w:pPr>
    </w:p>
    <w:p>
      <w:pPr>
        <w:spacing w:line="0" w:lineRule="atLeast"/>
        <w:jc w:val="center"/>
        <w:rPr>
          <w:b/>
          <w:snapToGrid w:val="0"/>
          <w:color w:val="000000"/>
          <w:spacing w:val="-20"/>
          <w:kern w:val="0"/>
          <w:sz w:val="48"/>
          <w:szCs w:val="48"/>
        </w:rPr>
      </w:pPr>
      <w:r>
        <w:rPr>
          <w:rFonts w:hint="eastAsia"/>
          <w:b/>
          <w:snapToGrid w:val="0"/>
          <w:color w:val="000000"/>
          <w:spacing w:val="-20"/>
          <w:kern w:val="0"/>
          <w:sz w:val="48"/>
          <w:szCs w:val="48"/>
        </w:rPr>
        <w:t>通用环球中铁西安医院</w:t>
      </w:r>
    </w:p>
    <w:p>
      <w:pPr>
        <w:spacing w:line="0" w:lineRule="atLeast"/>
        <w:jc w:val="center"/>
        <w:rPr>
          <w:b/>
          <w:snapToGrid w:val="0"/>
          <w:color w:val="000000"/>
          <w:spacing w:val="-20"/>
          <w:kern w:val="0"/>
          <w:sz w:val="48"/>
          <w:szCs w:val="48"/>
        </w:rPr>
      </w:pPr>
      <w:r>
        <w:rPr>
          <w:rFonts w:hint="eastAsia"/>
          <w:b/>
          <w:snapToGrid w:val="0"/>
          <w:color w:val="000000"/>
          <w:spacing w:val="-20"/>
          <w:kern w:val="0"/>
          <w:sz w:val="48"/>
          <w:szCs w:val="48"/>
        </w:rPr>
        <w:t>数字减影血管造影机核技术利用项目</w:t>
      </w:r>
    </w:p>
    <w:p>
      <w:pPr>
        <w:spacing w:line="0" w:lineRule="atLeast"/>
        <w:jc w:val="center"/>
        <w:rPr>
          <w:b/>
          <w:snapToGrid w:val="0"/>
          <w:color w:val="000000"/>
          <w:spacing w:val="-20"/>
          <w:kern w:val="0"/>
          <w:sz w:val="44"/>
          <w:szCs w:val="44"/>
        </w:rPr>
      </w:pPr>
      <w:r>
        <w:rPr>
          <w:b/>
          <w:snapToGrid w:val="0"/>
          <w:color w:val="000000"/>
          <w:spacing w:val="-20"/>
          <w:kern w:val="0"/>
          <w:sz w:val="48"/>
          <w:szCs w:val="48"/>
        </w:rPr>
        <w:t>环境影响报告表</w:t>
      </w:r>
    </w:p>
    <w:p>
      <w:pPr>
        <w:spacing w:line="0" w:lineRule="atLeast"/>
        <w:jc w:val="center"/>
        <w:rPr>
          <w:b/>
          <w:snapToGrid w:val="0"/>
          <w:color w:val="000000"/>
          <w:spacing w:val="-20"/>
          <w:kern w:val="0"/>
          <w:sz w:val="44"/>
          <w:szCs w:val="44"/>
        </w:rPr>
      </w:pPr>
    </w:p>
    <w:p>
      <w:pPr>
        <w:spacing w:line="0" w:lineRule="atLeast"/>
        <w:jc w:val="center"/>
        <w:rPr>
          <w:b/>
          <w:color w:val="000000"/>
          <w:sz w:val="48"/>
          <w:szCs w:val="48"/>
        </w:rPr>
      </w:pPr>
    </w:p>
    <w:p>
      <w:pPr>
        <w:spacing w:line="0" w:lineRule="atLeast"/>
        <w:jc w:val="center"/>
        <w:rPr>
          <w:b/>
          <w:color w:val="000000"/>
          <w:sz w:val="48"/>
          <w:szCs w:val="48"/>
        </w:rPr>
      </w:pPr>
    </w:p>
    <w:p>
      <w:pPr>
        <w:spacing w:line="0" w:lineRule="atLeast"/>
        <w:jc w:val="center"/>
        <w:rPr>
          <w:b/>
          <w:color w:val="000000"/>
          <w:sz w:val="48"/>
          <w:szCs w:val="48"/>
        </w:rPr>
      </w:pPr>
    </w:p>
    <w:p>
      <w:pPr>
        <w:spacing w:line="0" w:lineRule="atLeast"/>
        <w:jc w:val="center"/>
        <w:rPr>
          <w:b/>
          <w:color w:val="000000"/>
          <w:sz w:val="48"/>
          <w:szCs w:val="48"/>
        </w:rPr>
      </w:pPr>
    </w:p>
    <w:p>
      <w:pPr>
        <w:spacing w:line="360" w:lineRule="auto"/>
        <w:ind w:firstLine="960" w:firstLineChars="200"/>
        <w:jc w:val="center"/>
        <w:rPr>
          <w:rFonts w:eastAsiaTheme="minorEastAsia"/>
          <w:sz w:val="48"/>
          <w:szCs w:val="48"/>
        </w:rPr>
      </w:pPr>
    </w:p>
    <w:p>
      <w:pPr>
        <w:spacing w:line="360" w:lineRule="auto"/>
        <w:ind w:firstLine="960" w:firstLineChars="200"/>
        <w:jc w:val="center"/>
        <w:rPr>
          <w:rFonts w:eastAsiaTheme="minorEastAsia"/>
          <w:sz w:val="48"/>
          <w:szCs w:val="48"/>
        </w:rPr>
      </w:pPr>
    </w:p>
    <w:p>
      <w:pPr>
        <w:spacing w:line="360" w:lineRule="auto"/>
        <w:ind w:firstLine="960" w:firstLineChars="200"/>
        <w:jc w:val="center"/>
        <w:rPr>
          <w:rFonts w:eastAsiaTheme="minorEastAsia"/>
          <w:sz w:val="48"/>
          <w:szCs w:val="48"/>
        </w:rPr>
      </w:pPr>
    </w:p>
    <w:p>
      <w:pPr>
        <w:spacing w:line="360" w:lineRule="auto"/>
        <w:ind w:firstLine="960" w:firstLineChars="200"/>
        <w:jc w:val="center"/>
        <w:rPr>
          <w:rFonts w:eastAsiaTheme="minorEastAsia"/>
          <w:sz w:val="48"/>
          <w:szCs w:val="48"/>
        </w:rPr>
      </w:pPr>
    </w:p>
    <w:p>
      <w:pPr>
        <w:spacing w:line="0" w:lineRule="atLeast"/>
        <w:jc w:val="center"/>
        <w:rPr>
          <w:b/>
          <w:color w:val="000000"/>
          <w:sz w:val="48"/>
          <w:szCs w:val="48"/>
        </w:rPr>
      </w:pPr>
    </w:p>
    <w:p>
      <w:pPr>
        <w:spacing w:line="0" w:lineRule="atLeast"/>
        <w:jc w:val="center"/>
        <w:rPr>
          <w:b/>
          <w:color w:val="000000"/>
          <w:sz w:val="48"/>
          <w:szCs w:val="48"/>
        </w:rPr>
      </w:pPr>
    </w:p>
    <w:p>
      <w:pPr>
        <w:tabs>
          <w:tab w:val="center" w:pos="4153"/>
          <w:tab w:val="right" w:pos="8306"/>
        </w:tabs>
        <w:snapToGrid w:val="0"/>
        <w:jc w:val="center"/>
        <w:rPr>
          <w:b/>
          <w:color w:val="000000"/>
          <w:sz w:val="48"/>
          <w:szCs w:val="48"/>
        </w:rPr>
      </w:pPr>
    </w:p>
    <w:p>
      <w:pPr>
        <w:adjustRightInd w:val="0"/>
        <w:snapToGrid w:val="0"/>
        <w:spacing w:line="360" w:lineRule="auto"/>
        <w:ind w:right="-382" w:rightChars="-159"/>
        <w:rPr>
          <w:b/>
          <w:color w:val="000000"/>
          <w:sz w:val="28"/>
          <w:szCs w:val="28"/>
          <w:u w:val="single"/>
        </w:rPr>
      </w:pPr>
      <w:r>
        <w:rPr>
          <w:b/>
          <w:color w:val="000000"/>
          <w:sz w:val="28"/>
          <w:szCs w:val="28"/>
        </w:rPr>
        <w:t>建设单位名称：</w:t>
      </w:r>
      <w:r>
        <w:rPr>
          <w:rFonts w:hint="eastAsia"/>
          <w:b/>
          <w:color w:val="000000"/>
          <w:sz w:val="28"/>
          <w:szCs w:val="28"/>
        </w:rPr>
        <w:t>通用环球中铁西安医院（盖章）</w:t>
      </w:r>
    </w:p>
    <w:p>
      <w:pPr>
        <w:adjustRightInd w:val="0"/>
        <w:snapToGrid w:val="0"/>
        <w:spacing w:line="360" w:lineRule="auto"/>
        <w:rPr>
          <w:b/>
          <w:color w:val="000000"/>
          <w:sz w:val="28"/>
          <w:szCs w:val="28"/>
        </w:rPr>
      </w:pPr>
      <w:r>
        <w:rPr>
          <w:b/>
          <w:color w:val="000000"/>
          <w:sz w:val="28"/>
          <w:szCs w:val="28"/>
        </w:rPr>
        <w:t>建设单位法人代表（签名或签章）：</w:t>
      </w:r>
    </w:p>
    <w:p>
      <w:pPr>
        <w:adjustRightInd w:val="0"/>
        <w:snapToGrid w:val="0"/>
        <w:spacing w:line="360" w:lineRule="auto"/>
        <w:rPr>
          <w:b/>
          <w:color w:val="000000"/>
          <w:sz w:val="28"/>
          <w:szCs w:val="28"/>
        </w:rPr>
      </w:pPr>
      <w:r>
        <w:rPr>
          <w:b/>
          <w:color w:val="000000"/>
          <w:sz w:val="28"/>
          <w:szCs w:val="28"/>
        </w:rPr>
        <w:t>通讯地址：</w:t>
      </w:r>
      <w:r>
        <w:rPr>
          <w:rFonts w:hint="eastAsia"/>
          <w:b/>
          <w:color w:val="000000"/>
          <w:sz w:val="28"/>
          <w:szCs w:val="28"/>
        </w:rPr>
        <w:t>西安市南二环东段319号</w:t>
      </w:r>
    </w:p>
    <w:p>
      <w:pPr>
        <w:adjustRightInd w:val="0"/>
        <w:snapToGrid w:val="0"/>
        <w:spacing w:line="360" w:lineRule="auto"/>
        <w:ind w:right="-382" w:rightChars="-159"/>
        <w:rPr>
          <w:rFonts w:hint="eastAsia"/>
          <w:b/>
          <w:color w:val="000000"/>
          <w:sz w:val="28"/>
          <w:szCs w:val="28"/>
          <w:lang w:eastAsia="zh-CN"/>
        </w:rPr>
      </w:pPr>
      <w:r>
        <w:rPr>
          <w:b/>
          <w:color w:val="000000"/>
          <w:sz w:val="28"/>
          <w:szCs w:val="28"/>
        </w:rPr>
        <w:t>邮政编码：71</w:t>
      </w:r>
      <w:r>
        <w:rPr>
          <w:rFonts w:hint="eastAsia"/>
          <w:b/>
          <w:color w:val="000000"/>
          <w:sz w:val="28"/>
          <w:szCs w:val="28"/>
        </w:rPr>
        <w:t>0</w:t>
      </w:r>
      <w:r>
        <w:rPr>
          <w:b/>
          <w:color w:val="000000"/>
          <w:sz w:val="28"/>
          <w:szCs w:val="28"/>
        </w:rPr>
        <w:t>054                       联系人：</w:t>
      </w:r>
      <w:r>
        <w:rPr>
          <w:rFonts w:hint="eastAsia"/>
          <w:b/>
          <w:color w:val="000000"/>
          <w:sz w:val="28"/>
          <w:szCs w:val="28"/>
          <w:lang w:eastAsia="zh-CN"/>
        </w:rPr>
        <w:t>宋琦</w:t>
      </w:r>
    </w:p>
    <w:p>
      <w:pPr>
        <w:adjustRightInd w:val="0"/>
        <w:snapToGrid w:val="0"/>
        <w:spacing w:line="360" w:lineRule="auto"/>
        <w:ind w:right="-382" w:rightChars="-159"/>
        <w:rPr>
          <w:b/>
          <w:color w:val="000000"/>
          <w:sz w:val="28"/>
          <w:szCs w:val="28"/>
        </w:rPr>
      </w:pPr>
      <w:r>
        <w:rPr>
          <w:b/>
          <w:color w:val="000000"/>
          <w:sz w:val="28"/>
          <w:szCs w:val="28"/>
        </w:rPr>
        <w:t>电子邮箱：</w:t>
      </w:r>
      <w:r>
        <w:rPr>
          <w:rFonts w:hint="eastAsia"/>
          <w:b/>
          <w:color w:val="000000"/>
          <w:sz w:val="28"/>
          <w:szCs w:val="28"/>
          <w:lang w:val="en-US" w:eastAsia="zh-CN"/>
        </w:rPr>
        <w:t>21104967@qq.com</w:t>
      </w:r>
      <w:r>
        <w:rPr>
          <w:b/>
          <w:color w:val="000000"/>
          <w:sz w:val="28"/>
          <w:szCs w:val="28"/>
        </w:rPr>
        <w:t xml:space="preserve">             联系电话：</w:t>
      </w:r>
      <w:r>
        <w:rPr>
          <w:rFonts w:hint="eastAsia"/>
          <w:b/>
          <w:color w:val="000000"/>
          <w:sz w:val="28"/>
          <w:szCs w:val="28"/>
          <w:lang w:val="en-US" w:eastAsia="zh-CN"/>
        </w:rPr>
        <w:t>029-87865024</w:t>
      </w:r>
    </w:p>
    <w:p>
      <w:pPr>
        <w:pStyle w:val="2"/>
        <w:ind w:firstLine="480"/>
        <w:rPr>
          <w:rFonts w:eastAsiaTheme="minorEastAsia"/>
        </w:rPr>
      </w:pPr>
    </w:p>
    <w:p>
      <w:pPr>
        <w:spacing w:line="360" w:lineRule="auto"/>
        <w:jc w:val="center"/>
        <w:rPr>
          <w:b/>
          <w:bCs/>
          <w:color w:val="000000"/>
          <w:sz w:val="28"/>
          <w:szCs w:val="28"/>
        </w:rPr>
      </w:pPr>
      <w:r>
        <w:rPr>
          <w:b/>
          <w:bCs/>
          <w:color w:val="000000"/>
          <w:sz w:val="28"/>
          <w:szCs w:val="28"/>
        </w:rPr>
        <w:t>目 录</w:t>
      </w:r>
    </w:p>
    <w:p>
      <w:pPr>
        <w:pStyle w:val="48"/>
        <w:tabs>
          <w:tab w:val="right" w:leader="dot" w:pos="9026"/>
        </w:tabs>
        <w:spacing w:line="360" w:lineRule="auto"/>
        <w:rPr>
          <w:color w:val="000000"/>
          <w:sz w:val="24"/>
          <w:szCs w:val="24"/>
        </w:rPr>
      </w:pPr>
      <w:r>
        <w:rPr>
          <w:color w:val="000000"/>
          <w:sz w:val="24"/>
          <w:szCs w:val="24"/>
        </w:rPr>
        <w:fldChar w:fldCharType="begin"/>
      </w:r>
      <w:r>
        <w:rPr>
          <w:color w:val="000000"/>
          <w:sz w:val="24"/>
          <w:szCs w:val="24"/>
        </w:rPr>
        <w:instrText xml:space="preserve">TOC \o "1-1" \h \u </w:instrText>
      </w:r>
      <w:r>
        <w:rPr>
          <w:color w:val="000000"/>
          <w:sz w:val="24"/>
          <w:szCs w:val="24"/>
        </w:rPr>
        <w:fldChar w:fldCharType="separate"/>
      </w:r>
      <w:r>
        <w:fldChar w:fldCharType="begin"/>
      </w:r>
      <w:r>
        <w:instrText xml:space="preserve"> HYPERLINK \l "_Toc29706" </w:instrText>
      </w:r>
      <w:r>
        <w:fldChar w:fldCharType="separate"/>
      </w:r>
      <w:r>
        <w:rPr>
          <w:color w:val="000000"/>
          <w:sz w:val="24"/>
          <w:szCs w:val="24"/>
        </w:rPr>
        <w:t>表1 项目基本情况</w:t>
      </w:r>
      <w:r>
        <w:rPr>
          <w:color w:val="000000"/>
          <w:sz w:val="24"/>
          <w:szCs w:val="24"/>
        </w:rPr>
        <w:tab/>
      </w:r>
      <w:r>
        <w:rPr>
          <w:color w:val="000000"/>
          <w:sz w:val="24"/>
          <w:szCs w:val="24"/>
        </w:rPr>
        <w:fldChar w:fldCharType="begin"/>
      </w:r>
      <w:r>
        <w:rPr>
          <w:color w:val="000000"/>
          <w:sz w:val="24"/>
          <w:szCs w:val="24"/>
        </w:rPr>
        <w:instrText xml:space="preserve"> PAGEREF _Toc29706 \h </w:instrText>
      </w:r>
      <w:r>
        <w:rPr>
          <w:color w:val="000000"/>
          <w:sz w:val="24"/>
          <w:szCs w:val="24"/>
        </w:rPr>
        <w:fldChar w:fldCharType="separate"/>
      </w:r>
      <w:r>
        <w:rPr>
          <w:color w:val="000000"/>
          <w:sz w:val="24"/>
          <w:szCs w:val="24"/>
        </w:rPr>
        <w:t>- 1 -</w:t>
      </w:r>
      <w:r>
        <w:rPr>
          <w:color w:val="000000"/>
          <w:sz w:val="24"/>
          <w:szCs w:val="24"/>
        </w:rPr>
        <w:fldChar w:fldCharType="end"/>
      </w:r>
      <w:r>
        <w:rPr>
          <w:color w:val="000000"/>
          <w:sz w:val="24"/>
          <w:szCs w:val="24"/>
        </w:rPr>
        <w:fldChar w:fldCharType="end"/>
      </w:r>
    </w:p>
    <w:p>
      <w:pPr>
        <w:pStyle w:val="48"/>
        <w:tabs>
          <w:tab w:val="right" w:leader="dot" w:pos="9026"/>
        </w:tabs>
        <w:spacing w:line="360" w:lineRule="auto"/>
        <w:rPr>
          <w:color w:val="000000"/>
          <w:sz w:val="24"/>
          <w:szCs w:val="24"/>
        </w:rPr>
      </w:pPr>
      <w:r>
        <w:fldChar w:fldCharType="begin"/>
      </w:r>
      <w:r>
        <w:instrText xml:space="preserve"> HYPERLINK \l "_Toc18242" </w:instrText>
      </w:r>
      <w:r>
        <w:fldChar w:fldCharType="separate"/>
      </w:r>
      <w:r>
        <w:rPr>
          <w:color w:val="000000"/>
          <w:sz w:val="24"/>
          <w:szCs w:val="24"/>
        </w:rPr>
        <w:t>表2 放射源</w:t>
      </w:r>
      <w:r>
        <w:rPr>
          <w:color w:val="000000"/>
          <w:sz w:val="24"/>
          <w:szCs w:val="24"/>
        </w:rPr>
        <w:tab/>
      </w:r>
      <w:r>
        <w:rPr>
          <w:color w:val="000000"/>
          <w:sz w:val="24"/>
          <w:szCs w:val="24"/>
        </w:rPr>
        <w:fldChar w:fldCharType="begin"/>
      </w:r>
      <w:r>
        <w:rPr>
          <w:color w:val="000000"/>
          <w:sz w:val="24"/>
          <w:szCs w:val="24"/>
        </w:rPr>
        <w:instrText xml:space="preserve"> PAGEREF _Toc18242 \h </w:instrText>
      </w:r>
      <w:r>
        <w:rPr>
          <w:color w:val="000000"/>
          <w:sz w:val="24"/>
          <w:szCs w:val="24"/>
        </w:rPr>
        <w:fldChar w:fldCharType="separate"/>
      </w:r>
      <w:r>
        <w:rPr>
          <w:color w:val="000000"/>
          <w:sz w:val="24"/>
          <w:szCs w:val="24"/>
        </w:rPr>
        <w:t>- 15 -</w:t>
      </w:r>
      <w:r>
        <w:rPr>
          <w:color w:val="000000"/>
          <w:sz w:val="24"/>
          <w:szCs w:val="24"/>
        </w:rPr>
        <w:fldChar w:fldCharType="end"/>
      </w:r>
      <w:r>
        <w:rPr>
          <w:color w:val="000000"/>
          <w:sz w:val="24"/>
          <w:szCs w:val="24"/>
        </w:rPr>
        <w:fldChar w:fldCharType="end"/>
      </w:r>
    </w:p>
    <w:p>
      <w:pPr>
        <w:pStyle w:val="48"/>
        <w:tabs>
          <w:tab w:val="right" w:leader="dot" w:pos="9026"/>
        </w:tabs>
        <w:spacing w:line="360" w:lineRule="auto"/>
        <w:rPr>
          <w:color w:val="000000"/>
          <w:sz w:val="24"/>
          <w:szCs w:val="24"/>
        </w:rPr>
      </w:pPr>
      <w:r>
        <w:fldChar w:fldCharType="begin"/>
      </w:r>
      <w:r>
        <w:instrText xml:space="preserve"> HYPERLINK \l "_Toc19448" </w:instrText>
      </w:r>
      <w:r>
        <w:fldChar w:fldCharType="separate"/>
      </w:r>
      <w:r>
        <w:rPr>
          <w:color w:val="000000"/>
          <w:sz w:val="24"/>
          <w:szCs w:val="24"/>
        </w:rPr>
        <w:t>表3 非密封放射性物质</w:t>
      </w:r>
      <w:r>
        <w:rPr>
          <w:color w:val="000000"/>
          <w:sz w:val="24"/>
          <w:szCs w:val="24"/>
        </w:rPr>
        <w:tab/>
      </w:r>
      <w:r>
        <w:rPr>
          <w:color w:val="000000"/>
          <w:sz w:val="24"/>
          <w:szCs w:val="24"/>
        </w:rPr>
        <w:fldChar w:fldCharType="begin"/>
      </w:r>
      <w:r>
        <w:rPr>
          <w:color w:val="000000"/>
          <w:sz w:val="24"/>
          <w:szCs w:val="24"/>
        </w:rPr>
        <w:instrText xml:space="preserve"> PAGEREF _Toc19448 \h </w:instrText>
      </w:r>
      <w:r>
        <w:rPr>
          <w:color w:val="000000"/>
          <w:sz w:val="24"/>
          <w:szCs w:val="24"/>
        </w:rPr>
        <w:fldChar w:fldCharType="separate"/>
      </w:r>
      <w:r>
        <w:rPr>
          <w:color w:val="000000"/>
          <w:sz w:val="24"/>
          <w:szCs w:val="24"/>
        </w:rPr>
        <w:t>- 15 -</w:t>
      </w:r>
      <w:r>
        <w:rPr>
          <w:color w:val="000000"/>
          <w:sz w:val="24"/>
          <w:szCs w:val="24"/>
        </w:rPr>
        <w:fldChar w:fldCharType="end"/>
      </w:r>
      <w:r>
        <w:rPr>
          <w:color w:val="000000"/>
          <w:sz w:val="24"/>
          <w:szCs w:val="24"/>
        </w:rPr>
        <w:fldChar w:fldCharType="end"/>
      </w:r>
    </w:p>
    <w:p>
      <w:pPr>
        <w:pStyle w:val="48"/>
        <w:tabs>
          <w:tab w:val="right" w:leader="dot" w:pos="9026"/>
        </w:tabs>
        <w:spacing w:line="360" w:lineRule="auto"/>
        <w:rPr>
          <w:color w:val="000000"/>
          <w:sz w:val="24"/>
          <w:szCs w:val="24"/>
        </w:rPr>
      </w:pPr>
      <w:r>
        <w:fldChar w:fldCharType="begin"/>
      </w:r>
      <w:r>
        <w:instrText xml:space="preserve"> HYPERLINK \l "_Toc26520" </w:instrText>
      </w:r>
      <w:r>
        <w:fldChar w:fldCharType="separate"/>
      </w:r>
      <w:r>
        <w:rPr>
          <w:color w:val="000000"/>
          <w:sz w:val="24"/>
          <w:szCs w:val="24"/>
        </w:rPr>
        <w:t>表4 射线装置</w:t>
      </w:r>
      <w:r>
        <w:rPr>
          <w:color w:val="000000"/>
          <w:sz w:val="24"/>
          <w:szCs w:val="24"/>
        </w:rPr>
        <w:tab/>
      </w:r>
      <w:r>
        <w:rPr>
          <w:color w:val="000000"/>
          <w:sz w:val="24"/>
          <w:szCs w:val="24"/>
        </w:rPr>
        <w:fldChar w:fldCharType="begin"/>
      </w:r>
      <w:r>
        <w:rPr>
          <w:color w:val="000000"/>
          <w:sz w:val="24"/>
          <w:szCs w:val="24"/>
        </w:rPr>
        <w:instrText xml:space="preserve"> PAGEREF _Toc26520 \h </w:instrText>
      </w:r>
      <w:r>
        <w:rPr>
          <w:color w:val="000000"/>
          <w:sz w:val="24"/>
          <w:szCs w:val="24"/>
        </w:rPr>
        <w:fldChar w:fldCharType="separate"/>
      </w:r>
      <w:r>
        <w:rPr>
          <w:color w:val="000000"/>
          <w:sz w:val="24"/>
          <w:szCs w:val="24"/>
        </w:rPr>
        <w:t>- 16 -</w:t>
      </w:r>
      <w:r>
        <w:rPr>
          <w:color w:val="000000"/>
          <w:sz w:val="24"/>
          <w:szCs w:val="24"/>
        </w:rPr>
        <w:fldChar w:fldCharType="end"/>
      </w:r>
      <w:r>
        <w:rPr>
          <w:color w:val="000000"/>
          <w:sz w:val="24"/>
          <w:szCs w:val="24"/>
        </w:rPr>
        <w:fldChar w:fldCharType="end"/>
      </w:r>
    </w:p>
    <w:p>
      <w:pPr>
        <w:pStyle w:val="48"/>
        <w:tabs>
          <w:tab w:val="right" w:leader="dot" w:pos="9026"/>
        </w:tabs>
        <w:spacing w:line="360" w:lineRule="auto"/>
        <w:rPr>
          <w:color w:val="000000"/>
          <w:sz w:val="24"/>
          <w:szCs w:val="24"/>
        </w:rPr>
      </w:pPr>
      <w:r>
        <w:fldChar w:fldCharType="begin"/>
      </w:r>
      <w:r>
        <w:instrText xml:space="preserve"> HYPERLINK \l "_Toc31457" </w:instrText>
      </w:r>
      <w:r>
        <w:fldChar w:fldCharType="separate"/>
      </w:r>
      <w:r>
        <w:rPr>
          <w:color w:val="000000"/>
          <w:sz w:val="24"/>
          <w:szCs w:val="24"/>
        </w:rPr>
        <w:t>表5 废弃物（重点是放射性废弃物）</w:t>
      </w:r>
      <w:r>
        <w:rPr>
          <w:color w:val="000000"/>
          <w:sz w:val="24"/>
          <w:szCs w:val="24"/>
        </w:rPr>
        <w:tab/>
      </w:r>
      <w:r>
        <w:rPr>
          <w:color w:val="000000"/>
          <w:sz w:val="24"/>
          <w:szCs w:val="24"/>
        </w:rPr>
        <w:fldChar w:fldCharType="begin"/>
      </w:r>
      <w:r>
        <w:rPr>
          <w:color w:val="000000"/>
          <w:sz w:val="24"/>
          <w:szCs w:val="24"/>
        </w:rPr>
        <w:instrText xml:space="preserve"> PAGEREF _Toc31457 \h </w:instrText>
      </w:r>
      <w:r>
        <w:rPr>
          <w:color w:val="000000"/>
          <w:sz w:val="24"/>
          <w:szCs w:val="24"/>
        </w:rPr>
        <w:fldChar w:fldCharType="separate"/>
      </w:r>
      <w:r>
        <w:rPr>
          <w:color w:val="000000"/>
          <w:sz w:val="24"/>
          <w:szCs w:val="24"/>
        </w:rPr>
        <w:t>- 17 -</w:t>
      </w:r>
      <w:r>
        <w:rPr>
          <w:color w:val="000000"/>
          <w:sz w:val="24"/>
          <w:szCs w:val="24"/>
        </w:rPr>
        <w:fldChar w:fldCharType="end"/>
      </w:r>
      <w:r>
        <w:rPr>
          <w:color w:val="000000"/>
          <w:sz w:val="24"/>
          <w:szCs w:val="24"/>
        </w:rPr>
        <w:fldChar w:fldCharType="end"/>
      </w:r>
    </w:p>
    <w:p>
      <w:pPr>
        <w:pStyle w:val="48"/>
        <w:tabs>
          <w:tab w:val="right" w:leader="dot" w:pos="9026"/>
        </w:tabs>
        <w:spacing w:line="360" w:lineRule="auto"/>
        <w:rPr>
          <w:color w:val="000000"/>
          <w:sz w:val="24"/>
          <w:szCs w:val="24"/>
        </w:rPr>
      </w:pPr>
      <w:r>
        <w:fldChar w:fldCharType="begin"/>
      </w:r>
      <w:r>
        <w:instrText xml:space="preserve"> HYPERLINK \l "_Toc9273" </w:instrText>
      </w:r>
      <w:r>
        <w:fldChar w:fldCharType="separate"/>
      </w:r>
      <w:r>
        <w:rPr>
          <w:color w:val="000000"/>
          <w:sz w:val="24"/>
          <w:szCs w:val="24"/>
        </w:rPr>
        <w:t>表6 评价依据</w:t>
      </w:r>
      <w:r>
        <w:rPr>
          <w:color w:val="000000"/>
          <w:sz w:val="24"/>
          <w:szCs w:val="24"/>
        </w:rPr>
        <w:tab/>
      </w:r>
      <w:r>
        <w:rPr>
          <w:color w:val="000000"/>
          <w:sz w:val="24"/>
          <w:szCs w:val="24"/>
        </w:rPr>
        <w:fldChar w:fldCharType="begin"/>
      </w:r>
      <w:r>
        <w:rPr>
          <w:color w:val="000000"/>
          <w:sz w:val="24"/>
          <w:szCs w:val="24"/>
        </w:rPr>
        <w:instrText xml:space="preserve"> PAGEREF _Toc9273 \h </w:instrText>
      </w:r>
      <w:r>
        <w:rPr>
          <w:color w:val="000000"/>
          <w:sz w:val="24"/>
          <w:szCs w:val="24"/>
        </w:rPr>
        <w:fldChar w:fldCharType="separate"/>
      </w:r>
      <w:r>
        <w:rPr>
          <w:color w:val="000000"/>
          <w:sz w:val="24"/>
          <w:szCs w:val="24"/>
        </w:rPr>
        <w:t>- 18 -</w:t>
      </w:r>
      <w:r>
        <w:rPr>
          <w:color w:val="000000"/>
          <w:sz w:val="24"/>
          <w:szCs w:val="24"/>
        </w:rPr>
        <w:fldChar w:fldCharType="end"/>
      </w:r>
      <w:r>
        <w:rPr>
          <w:color w:val="000000"/>
          <w:sz w:val="24"/>
          <w:szCs w:val="24"/>
        </w:rPr>
        <w:fldChar w:fldCharType="end"/>
      </w:r>
    </w:p>
    <w:p>
      <w:pPr>
        <w:pStyle w:val="48"/>
        <w:tabs>
          <w:tab w:val="right" w:leader="dot" w:pos="9026"/>
        </w:tabs>
        <w:spacing w:line="360" w:lineRule="auto"/>
        <w:rPr>
          <w:color w:val="000000"/>
          <w:sz w:val="24"/>
          <w:szCs w:val="24"/>
        </w:rPr>
      </w:pPr>
      <w:r>
        <w:fldChar w:fldCharType="begin"/>
      </w:r>
      <w:r>
        <w:instrText xml:space="preserve"> HYPERLINK \l "_Toc13513" </w:instrText>
      </w:r>
      <w:r>
        <w:fldChar w:fldCharType="separate"/>
      </w:r>
      <w:r>
        <w:rPr>
          <w:color w:val="000000"/>
          <w:sz w:val="24"/>
          <w:szCs w:val="24"/>
        </w:rPr>
        <w:t>表7 保护目标和评价标准</w:t>
      </w:r>
      <w:r>
        <w:rPr>
          <w:color w:val="000000"/>
          <w:sz w:val="24"/>
          <w:szCs w:val="24"/>
        </w:rPr>
        <w:tab/>
      </w:r>
      <w:r>
        <w:rPr>
          <w:color w:val="000000"/>
          <w:sz w:val="24"/>
          <w:szCs w:val="24"/>
        </w:rPr>
        <w:fldChar w:fldCharType="begin"/>
      </w:r>
      <w:r>
        <w:rPr>
          <w:color w:val="000000"/>
          <w:sz w:val="24"/>
          <w:szCs w:val="24"/>
        </w:rPr>
        <w:instrText xml:space="preserve"> PAGEREF _Toc13513 \h </w:instrText>
      </w:r>
      <w:r>
        <w:rPr>
          <w:color w:val="000000"/>
          <w:sz w:val="24"/>
          <w:szCs w:val="24"/>
        </w:rPr>
        <w:fldChar w:fldCharType="separate"/>
      </w:r>
      <w:r>
        <w:rPr>
          <w:color w:val="000000"/>
          <w:sz w:val="24"/>
          <w:szCs w:val="24"/>
        </w:rPr>
        <w:t>- 20 -</w:t>
      </w:r>
      <w:r>
        <w:rPr>
          <w:color w:val="000000"/>
          <w:sz w:val="24"/>
          <w:szCs w:val="24"/>
        </w:rPr>
        <w:fldChar w:fldCharType="end"/>
      </w:r>
      <w:r>
        <w:rPr>
          <w:color w:val="000000"/>
          <w:sz w:val="24"/>
          <w:szCs w:val="24"/>
        </w:rPr>
        <w:fldChar w:fldCharType="end"/>
      </w:r>
    </w:p>
    <w:p>
      <w:pPr>
        <w:pStyle w:val="48"/>
        <w:tabs>
          <w:tab w:val="right" w:leader="dot" w:pos="9026"/>
        </w:tabs>
        <w:spacing w:line="360" w:lineRule="auto"/>
        <w:rPr>
          <w:color w:val="000000"/>
          <w:sz w:val="24"/>
          <w:szCs w:val="24"/>
        </w:rPr>
      </w:pPr>
      <w:r>
        <w:fldChar w:fldCharType="begin"/>
      </w:r>
      <w:r>
        <w:instrText xml:space="preserve"> HYPERLINK \l "_Toc15347" </w:instrText>
      </w:r>
      <w:r>
        <w:fldChar w:fldCharType="separate"/>
      </w:r>
      <w:r>
        <w:rPr>
          <w:color w:val="000000"/>
          <w:sz w:val="24"/>
          <w:szCs w:val="24"/>
        </w:rPr>
        <w:t>表8 环境质量和辐射现状</w:t>
      </w:r>
      <w:r>
        <w:rPr>
          <w:color w:val="000000"/>
          <w:sz w:val="24"/>
          <w:szCs w:val="24"/>
        </w:rPr>
        <w:tab/>
      </w:r>
      <w:r>
        <w:rPr>
          <w:color w:val="000000"/>
          <w:sz w:val="24"/>
          <w:szCs w:val="24"/>
        </w:rPr>
        <w:fldChar w:fldCharType="begin"/>
      </w:r>
      <w:r>
        <w:rPr>
          <w:color w:val="000000"/>
          <w:sz w:val="24"/>
          <w:szCs w:val="24"/>
        </w:rPr>
        <w:instrText xml:space="preserve"> PAGEREF _Toc15347 \h </w:instrText>
      </w:r>
      <w:r>
        <w:rPr>
          <w:color w:val="000000"/>
          <w:sz w:val="24"/>
          <w:szCs w:val="24"/>
        </w:rPr>
        <w:fldChar w:fldCharType="separate"/>
      </w:r>
      <w:r>
        <w:rPr>
          <w:color w:val="000000"/>
          <w:sz w:val="24"/>
          <w:szCs w:val="24"/>
        </w:rPr>
        <w:t>- 26 -</w:t>
      </w:r>
      <w:r>
        <w:rPr>
          <w:color w:val="000000"/>
          <w:sz w:val="24"/>
          <w:szCs w:val="24"/>
        </w:rPr>
        <w:fldChar w:fldCharType="end"/>
      </w:r>
      <w:r>
        <w:rPr>
          <w:color w:val="000000"/>
          <w:sz w:val="24"/>
          <w:szCs w:val="24"/>
        </w:rPr>
        <w:fldChar w:fldCharType="end"/>
      </w:r>
    </w:p>
    <w:p>
      <w:pPr>
        <w:pStyle w:val="48"/>
        <w:tabs>
          <w:tab w:val="right" w:leader="dot" w:pos="9026"/>
        </w:tabs>
        <w:spacing w:line="360" w:lineRule="auto"/>
        <w:rPr>
          <w:color w:val="000000"/>
          <w:sz w:val="24"/>
          <w:szCs w:val="24"/>
        </w:rPr>
      </w:pPr>
      <w:r>
        <w:fldChar w:fldCharType="begin"/>
      </w:r>
      <w:r>
        <w:instrText xml:space="preserve"> HYPERLINK \l "_Toc31830" </w:instrText>
      </w:r>
      <w:r>
        <w:fldChar w:fldCharType="separate"/>
      </w:r>
      <w:r>
        <w:rPr>
          <w:color w:val="000000"/>
          <w:sz w:val="24"/>
          <w:szCs w:val="24"/>
        </w:rPr>
        <w:t>表9 项目工程分析与源项</w:t>
      </w:r>
      <w:r>
        <w:rPr>
          <w:color w:val="000000"/>
          <w:sz w:val="24"/>
          <w:szCs w:val="24"/>
        </w:rPr>
        <w:tab/>
      </w:r>
      <w:r>
        <w:rPr>
          <w:color w:val="000000"/>
          <w:sz w:val="24"/>
          <w:szCs w:val="24"/>
        </w:rPr>
        <w:fldChar w:fldCharType="begin"/>
      </w:r>
      <w:r>
        <w:rPr>
          <w:color w:val="000000"/>
          <w:sz w:val="24"/>
          <w:szCs w:val="24"/>
        </w:rPr>
        <w:instrText xml:space="preserve"> PAGEREF _Toc31830 \h </w:instrText>
      </w:r>
      <w:r>
        <w:rPr>
          <w:color w:val="000000"/>
          <w:sz w:val="24"/>
          <w:szCs w:val="24"/>
        </w:rPr>
        <w:fldChar w:fldCharType="separate"/>
      </w:r>
      <w:r>
        <w:rPr>
          <w:color w:val="000000"/>
          <w:sz w:val="24"/>
          <w:szCs w:val="24"/>
        </w:rPr>
        <w:t>- 29 -</w:t>
      </w:r>
      <w:r>
        <w:rPr>
          <w:color w:val="000000"/>
          <w:sz w:val="24"/>
          <w:szCs w:val="24"/>
        </w:rPr>
        <w:fldChar w:fldCharType="end"/>
      </w:r>
      <w:r>
        <w:rPr>
          <w:color w:val="000000"/>
          <w:sz w:val="24"/>
          <w:szCs w:val="24"/>
        </w:rPr>
        <w:fldChar w:fldCharType="end"/>
      </w:r>
    </w:p>
    <w:p>
      <w:pPr>
        <w:pStyle w:val="48"/>
        <w:tabs>
          <w:tab w:val="right" w:leader="dot" w:pos="9026"/>
        </w:tabs>
        <w:spacing w:line="360" w:lineRule="auto"/>
        <w:rPr>
          <w:color w:val="000000"/>
          <w:sz w:val="24"/>
          <w:szCs w:val="24"/>
        </w:rPr>
      </w:pPr>
      <w:r>
        <w:fldChar w:fldCharType="begin"/>
      </w:r>
      <w:r>
        <w:instrText xml:space="preserve"> HYPERLINK \l "_Toc25464" </w:instrText>
      </w:r>
      <w:r>
        <w:fldChar w:fldCharType="separate"/>
      </w:r>
      <w:r>
        <w:rPr>
          <w:color w:val="000000"/>
          <w:sz w:val="24"/>
          <w:szCs w:val="24"/>
        </w:rPr>
        <w:t>表10 辐射安全与防护</w:t>
      </w:r>
      <w:r>
        <w:rPr>
          <w:color w:val="000000"/>
          <w:sz w:val="24"/>
          <w:szCs w:val="24"/>
        </w:rPr>
        <w:tab/>
      </w:r>
      <w:r>
        <w:rPr>
          <w:color w:val="000000"/>
          <w:sz w:val="24"/>
          <w:szCs w:val="24"/>
        </w:rPr>
        <w:fldChar w:fldCharType="begin"/>
      </w:r>
      <w:r>
        <w:rPr>
          <w:color w:val="000000"/>
          <w:sz w:val="24"/>
          <w:szCs w:val="24"/>
        </w:rPr>
        <w:instrText xml:space="preserve"> PAGEREF _Toc25464 \h </w:instrText>
      </w:r>
      <w:r>
        <w:rPr>
          <w:color w:val="000000"/>
          <w:sz w:val="24"/>
          <w:szCs w:val="24"/>
        </w:rPr>
        <w:fldChar w:fldCharType="separate"/>
      </w:r>
      <w:r>
        <w:rPr>
          <w:color w:val="000000"/>
          <w:sz w:val="24"/>
          <w:szCs w:val="24"/>
        </w:rPr>
        <w:t>- 33 -</w:t>
      </w:r>
      <w:r>
        <w:rPr>
          <w:color w:val="000000"/>
          <w:sz w:val="24"/>
          <w:szCs w:val="24"/>
        </w:rPr>
        <w:fldChar w:fldCharType="end"/>
      </w:r>
      <w:r>
        <w:rPr>
          <w:color w:val="000000"/>
          <w:sz w:val="24"/>
          <w:szCs w:val="24"/>
        </w:rPr>
        <w:fldChar w:fldCharType="end"/>
      </w:r>
    </w:p>
    <w:p>
      <w:pPr>
        <w:pStyle w:val="48"/>
        <w:tabs>
          <w:tab w:val="right" w:leader="dot" w:pos="9026"/>
        </w:tabs>
        <w:spacing w:line="360" w:lineRule="auto"/>
        <w:rPr>
          <w:color w:val="000000"/>
          <w:sz w:val="24"/>
          <w:szCs w:val="24"/>
        </w:rPr>
      </w:pPr>
      <w:r>
        <w:fldChar w:fldCharType="begin"/>
      </w:r>
      <w:r>
        <w:instrText xml:space="preserve"> HYPERLINK \l "_Toc1077" </w:instrText>
      </w:r>
      <w:r>
        <w:fldChar w:fldCharType="separate"/>
      </w:r>
      <w:r>
        <w:rPr>
          <w:color w:val="000000"/>
          <w:sz w:val="24"/>
          <w:szCs w:val="24"/>
        </w:rPr>
        <w:t>表11 环境影响分析</w:t>
      </w:r>
      <w:r>
        <w:rPr>
          <w:color w:val="000000"/>
          <w:sz w:val="24"/>
          <w:szCs w:val="24"/>
        </w:rPr>
        <w:tab/>
      </w:r>
      <w:r>
        <w:rPr>
          <w:color w:val="000000"/>
          <w:sz w:val="24"/>
          <w:szCs w:val="24"/>
        </w:rPr>
        <w:fldChar w:fldCharType="begin"/>
      </w:r>
      <w:r>
        <w:rPr>
          <w:color w:val="000000"/>
          <w:sz w:val="24"/>
          <w:szCs w:val="24"/>
        </w:rPr>
        <w:instrText xml:space="preserve"> PAGEREF _Toc1077 \h </w:instrText>
      </w:r>
      <w:r>
        <w:rPr>
          <w:color w:val="000000"/>
          <w:sz w:val="24"/>
          <w:szCs w:val="24"/>
        </w:rPr>
        <w:fldChar w:fldCharType="separate"/>
      </w:r>
      <w:r>
        <w:rPr>
          <w:color w:val="000000"/>
          <w:sz w:val="24"/>
          <w:szCs w:val="24"/>
        </w:rPr>
        <w:t>- 42 -</w:t>
      </w:r>
      <w:r>
        <w:rPr>
          <w:color w:val="000000"/>
          <w:sz w:val="24"/>
          <w:szCs w:val="24"/>
        </w:rPr>
        <w:fldChar w:fldCharType="end"/>
      </w:r>
      <w:r>
        <w:rPr>
          <w:color w:val="000000"/>
          <w:sz w:val="24"/>
          <w:szCs w:val="24"/>
        </w:rPr>
        <w:fldChar w:fldCharType="end"/>
      </w:r>
    </w:p>
    <w:p>
      <w:pPr>
        <w:pStyle w:val="48"/>
        <w:tabs>
          <w:tab w:val="right" w:leader="dot" w:pos="9026"/>
        </w:tabs>
        <w:spacing w:line="360" w:lineRule="auto"/>
        <w:rPr>
          <w:color w:val="000000"/>
          <w:sz w:val="24"/>
          <w:szCs w:val="24"/>
        </w:rPr>
      </w:pPr>
      <w:r>
        <w:fldChar w:fldCharType="begin"/>
      </w:r>
      <w:r>
        <w:instrText xml:space="preserve"> HYPERLINK \l "_Toc27081" </w:instrText>
      </w:r>
      <w:r>
        <w:fldChar w:fldCharType="separate"/>
      </w:r>
      <w:r>
        <w:rPr>
          <w:color w:val="000000"/>
          <w:sz w:val="24"/>
          <w:szCs w:val="24"/>
        </w:rPr>
        <w:t>表12 辐射安全管理</w:t>
      </w:r>
      <w:r>
        <w:rPr>
          <w:color w:val="000000"/>
          <w:sz w:val="24"/>
          <w:szCs w:val="24"/>
        </w:rPr>
        <w:tab/>
      </w:r>
      <w:r>
        <w:rPr>
          <w:color w:val="000000"/>
          <w:sz w:val="24"/>
          <w:szCs w:val="24"/>
        </w:rPr>
        <w:fldChar w:fldCharType="begin"/>
      </w:r>
      <w:r>
        <w:rPr>
          <w:color w:val="000000"/>
          <w:sz w:val="24"/>
          <w:szCs w:val="24"/>
        </w:rPr>
        <w:instrText xml:space="preserve"> PAGEREF _Toc27081 \h </w:instrText>
      </w:r>
      <w:r>
        <w:rPr>
          <w:color w:val="000000"/>
          <w:sz w:val="24"/>
          <w:szCs w:val="24"/>
        </w:rPr>
        <w:fldChar w:fldCharType="separate"/>
      </w:r>
      <w:r>
        <w:rPr>
          <w:color w:val="000000"/>
          <w:sz w:val="24"/>
          <w:szCs w:val="24"/>
        </w:rPr>
        <w:t>- 56 -</w:t>
      </w:r>
      <w:r>
        <w:rPr>
          <w:color w:val="000000"/>
          <w:sz w:val="24"/>
          <w:szCs w:val="24"/>
        </w:rPr>
        <w:fldChar w:fldCharType="end"/>
      </w:r>
      <w:r>
        <w:rPr>
          <w:color w:val="000000"/>
          <w:sz w:val="24"/>
          <w:szCs w:val="24"/>
        </w:rPr>
        <w:fldChar w:fldCharType="end"/>
      </w:r>
    </w:p>
    <w:p>
      <w:pPr>
        <w:pStyle w:val="48"/>
        <w:tabs>
          <w:tab w:val="right" w:leader="dot" w:pos="9026"/>
        </w:tabs>
        <w:spacing w:line="360" w:lineRule="auto"/>
        <w:rPr>
          <w:color w:val="000000"/>
          <w:sz w:val="24"/>
          <w:szCs w:val="24"/>
        </w:rPr>
      </w:pPr>
      <w:r>
        <w:fldChar w:fldCharType="begin"/>
      </w:r>
      <w:r>
        <w:instrText xml:space="preserve"> HYPERLINK \l "_Toc14894" </w:instrText>
      </w:r>
      <w:r>
        <w:fldChar w:fldCharType="separate"/>
      </w:r>
      <w:r>
        <w:rPr>
          <w:color w:val="000000"/>
          <w:sz w:val="24"/>
          <w:szCs w:val="24"/>
        </w:rPr>
        <w:t>表13 结论与建议</w:t>
      </w:r>
      <w:r>
        <w:rPr>
          <w:color w:val="000000"/>
          <w:sz w:val="24"/>
          <w:szCs w:val="24"/>
        </w:rPr>
        <w:tab/>
      </w:r>
      <w:r>
        <w:rPr>
          <w:color w:val="000000"/>
          <w:sz w:val="24"/>
          <w:szCs w:val="24"/>
        </w:rPr>
        <w:fldChar w:fldCharType="begin"/>
      </w:r>
      <w:r>
        <w:rPr>
          <w:color w:val="000000"/>
          <w:sz w:val="24"/>
          <w:szCs w:val="24"/>
        </w:rPr>
        <w:instrText xml:space="preserve"> PAGEREF _Toc14894 \h </w:instrText>
      </w:r>
      <w:r>
        <w:rPr>
          <w:color w:val="000000"/>
          <w:sz w:val="24"/>
          <w:szCs w:val="24"/>
        </w:rPr>
        <w:fldChar w:fldCharType="separate"/>
      </w:r>
      <w:r>
        <w:rPr>
          <w:color w:val="000000"/>
          <w:sz w:val="24"/>
          <w:szCs w:val="24"/>
        </w:rPr>
        <w:t>- 66 -</w:t>
      </w:r>
      <w:r>
        <w:rPr>
          <w:color w:val="000000"/>
          <w:sz w:val="24"/>
          <w:szCs w:val="24"/>
        </w:rPr>
        <w:fldChar w:fldCharType="end"/>
      </w:r>
      <w:r>
        <w:rPr>
          <w:color w:val="000000"/>
          <w:sz w:val="24"/>
          <w:szCs w:val="24"/>
        </w:rPr>
        <w:fldChar w:fldCharType="end"/>
      </w:r>
    </w:p>
    <w:p>
      <w:pPr>
        <w:pStyle w:val="48"/>
        <w:tabs>
          <w:tab w:val="right" w:leader="dot" w:pos="9026"/>
        </w:tabs>
        <w:spacing w:line="360" w:lineRule="auto"/>
        <w:rPr>
          <w:color w:val="000000"/>
          <w:sz w:val="24"/>
          <w:szCs w:val="24"/>
        </w:rPr>
      </w:pPr>
      <w:r>
        <w:fldChar w:fldCharType="begin"/>
      </w:r>
      <w:r>
        <w:instrText xml:space="preserve"> HYPERLINK \l "_Toc11024" </w:instrText>
      </w:r>
      <w:r>
        <w:fldChar w:fldCharType="separate"/>
      </w:r>
      <w:r>
        <w:rPr>
          <w:color w:val="000000"/>
          <w:sz w:val="24"/>
          <w:szCs w:val="24"/>
        </w:rPr>
        <w:t>表14 审批</w:t>
      </w:r>
      <w:r>
        <w:rPr>
          <w:color w:val="000000"/>
          <w:sz w:val="24"/>
          <w:szCs w:val="24"/>
        </w:rPr>
        <w:tab/>
      </w:r>
      <w:r>
        <w:rPr>
          <w:color w:val="000000"/>
          <w:sz w:val="24"/>
          <w:szCs w:val="24"/>
        </w:rPr>
        <w:fldChar w:fldCharType="begin"/>
      </w:r>
      <w:r>
        <w:rPr>
          <w:color w:val="000000"/>
          <w:sz w:val="24"/>
          <w:szCs w:val="24"/>
        </w:rPr>
        <w:instrText xml:space="preserve"> PAGEREF _Toc11024 \h </w:instrText>
      </w:r>
      <w:r>
        <w:rPr>
          <w:color w:val="000000"/>
          <w:sz w:val="24"/>
          <w:szCs w:val="24"/>
        </w:rPr>
        <w:fldChar w:fldCharType="separate"/>
      </w:r>
      <w:r>
        <w:rPr>
          <w:color w:val="000000"/>
          <w:sz w:val="24"/>
          <w:szCs w:val="24"/>
        </w:rPr>
        <w:t>- 70 -</w:t>
      </w:r>
      <w:r>
        <w:rPr>
          <w:color w:val="000000"/>
          <w:sz w:val="24"/>
          <w:szCs w:val="24"/>
        </w:rPr>
        <w:fldChar w:fldCharType="end"/>
      </w:r>
      <w:r>
        <w:rPr>
          <w:color w:val="000000"/>
          <w:sz w:val="24"/>
          <w:szCs w:val="24"/>
        </w:rPr>
        <w:fldChar w:fldCharType="end"/>
      </w:r>
    </w:p>
    <w:p>
      <w:pPr>
        <w:spacing w:line="360" w:lineRule="auto"/>
        <w:rPr>
          <w:color w:val="000000"/>
        </w:rPr>
      </w:pPr>
      <w:r>
        <w:rPr>
          <w:color w:val="000000"/>
        </w:rPr>
        <w:fldChar w:fldCharType="end"/>
      </w:r>
      <w:bookmarkStart w:id="2" w:name="_Toc25768"/>
      <w:r>
        <w:rPr>
          <w:rFonts w:hint="eastAsia"/>
          <w:color w:val="000000"/>
        </w:rPr>
        <w:t>附件：</w:t>
      </w:r>
    </w:p>
    <w:p>
      <w:pPr>
        <w:pStyle w:val="2"/>
        <w:ind w:firstLine="480"/>
        <w:rPr>
          <w:rFonts w:ascii="宋体" w:hAnsi="宋体" w:eastAsia="宋体"/>
        </w:rPr>
      </w:pPr>
      <w:r>
        <w:rPr>
          <w:rFonts w:hint="eastAsia" w:ascii="宋体" w:hAnsi="宋体" w:eastAsia="宋体"/>
        </w:rPr>
        <w:t>附件</w:t>
      </w:r>
      <w:r>
        <w:rPr>
          <w:rFonts w:hint="eastAsia" w:eastAsiaTheme="minorEastAsia"/>
        </w:rPr>
        <w:t>1</w:t>
      </w:r>
      <w:r>
        <w:rPr>
          <w:rFonts w:eastAsiaTheme="minorEastAsia"/>
        </w:rPr>
        <w:t xml:space="preserve">  </w:t>
      </w:r>
      <w:r>
        <w:rPr>
          <w:rFonts w:hint="eastAsia" w:ascii="宋体" w:hAnsi="宋体" w:eastAsia="宋体"/>
        </w:rPr>
        <w:t>环境影响评价委托书；</w:t>
      </w:r>
    </w:p>
    <w:p>
      <w:pPr>
        <w:pStyle w:val="2"/>
        <w:ind w:firstLine="480"/>
        <w:rPr>
          <w:rFonts w:ascii="宋体" w:hAnsi="宋体" w:eastAsia="宋体"/>
        </w:rPr>
      </w:pPr>
      <w:r>
        <w:rPr>
          <w:rFonts w:hint="eastAsia" w:ascii="宋体" w:hAnsi="宋体" w:eastAsia="宋体"/>
        </w:rPr>
        <w:t>附件2</w:t>
      </w:r>
      <w:r>
        <w:rPr>
          <w:rFonts w:ascii="宋体" w:hAnsi="宋体" w:eastAsia="宋体"/>
        </w:rPr>
        <w:t xml:space="preserve">  </w:t>
      </w:r>
      <w:r>
        <w:rPr>
          <w:rFonts w:hint="eastAsia" w:ascii="宋体" w:hAnsi="宋体" w:eastAsia="宋体"/>
        </w:rPr>
        <w:t>医院现有</w:t>
      </w:r>
      <w:r>
        <w:rPr>
          <w:rFonts w:eastAsia="宋体"/>
        </w:rPr>
        <w:t>III</w:t>
      </w:r>
      <w:r>
        <w:rPr>
          <w:rFonts w:hint="eastAsia" w:ascii="宋体" w:hAnsi="宋体" w:eastAsia="宋体"/>
        </w:rPr>
        <w:t>类射线装置的环境影响登记表；</w:t>
      </w:r>
    </w:p>
    <w:p>
      <w:pPr>
        <w:pStyle w:val="2"/>
        <w:ind w:firstLine="480"/>
        <w:rPr>
          <w:rFonts w:ascii="宋体" w:hAnsi="宋体" w:eastAsia="宋体"/>
        </w:rPr>
      </w:pPr>
      <w:r>
        <w:rPr>
          <w:rFonts w:hint="eastAsia" w:ascii="宋体" w:hAnsi="宋体" w:eastAsia="宋体"/>
        </w:rPr>
        <w:t>附件</w:t>
      </w:r>
      <w:r>
        <w:rPr>
          <w:rFonts w:ascii="宋体" w:hAnsi="宋体" w:eastAsia="宋体"/>
        </w:rPr>
        <w:t xml:space="preserve">3  </w:t>
      </w:r>
      <w:r>
        <w:rPr>
          <w:rFonts w:hint="eastAsia" w:ascii="宋体" w:hAnsi="宋体" w:eastAsia="宋体"/>
        </w:rPr>
        <w:t>医院辐射安全许可证；</w:t>
      </w:r>
    </w:p>
    <w:p>
      <w:pPr>
        <w:pStyle w:val="2"/>
        <w:ind w:firstLine="480"/>
        <w:rPr>
          <w:rFonts w:ascii="宋体" w:hAnsi="宋体" w:eastAsia="宋体"/>
        </w:rPr>
      </w:pPr>
      <w:r>
        <w:rPr>
          <w:rFonts w:hint="eastAsia" w:ascii="宋体" w:hAnsi="宋体" w:eastAsia="宋体"/>
        </w:rPr>
        <w:t>附件4</w:t>
      </w:r>
      <w:r>
        <w:rPr>
          <w:rFonts w:ascii="宋体" w:hAnsi="宋体" w:eastAsia="宋体"/>
        </w:rPr>
        <w:t xml:space="preserve">  </w:t>
      </w:r>
      <w:r>
        <w:rPr>
          <w:rFonts w:hint="eastAsia" w:ascii="宋体" w:hAnsi="宋体" w:eastAsia="宋体"/>
        </w:rPr>
        <w:t>医院现有射线装置2022年度检测报告；</w:t>
      </w:r>
    </w:p>
    <w:p>
      <w:pPr>
        <w:pStyle w:val="2"/>
        <w:ind w:firstLine="480"/>
        <w:rPr>
          <w:rFonts w:ascii="宋体" w:hAnsi="宋体" w:eastAsia="宋体"/>
        </w:rPr>
      </w:pPr>
      <w:r>
        <w:rPr>
          <w:rFonts w:hint="eastAsia" w:ascii="宋体" w:hAnsi="宋体" w:eastAsia="宋体"/>
        </w:rPr>
        <w:t>附件5</w:t>
      </w:r>
      <w:r>
        <w:rPr>
          <w:rFonts w:ascii="宋体" w:hAnsi="宋体" w:eastAsia="宋体"/>
        </w:rPr>
        <w:t xml:space="preserve">  </w:t>
      </w:r>
      <w:r>
        <w:rPr>
          <w:rFonts w:hint="eastAsia" w:ascii="宋体" w:hAnsi="宋体" w:eastAsia="宋体"/>
        </w:rPr>
        <w:t>医院辐射工作人员个人剂量检测报告；</w:t>
      </w:r>
    </w:p>
    <w:p>
      <w:pPr>
        <w:pStyle w:val="2"/>
        <w:ind w:firstLine="480"/>
        <w:rPr>
          <w:rFonts w:ascii="宋体" w:hAnsi="宋体" w:eastAsia="宋体"/>
        </w:rPr>
      </w:pPr>
      <w:r>
        <w:rPr>
          <w:rFonts w:hint="eastAsia" w:ascii="宋体" w:hAnsi="宋体" w:eastAsia="宋体"/>
        </w:rPr>
        <w:t>附件</w:t>
      </w:r>
      <w:r>
        <w:rPr>
          <w:rFonts w:ascii="宋体" w:hAnsi="宋体" w:eastAsia="宋体"/>
        </w:rPr>
        <w:t xml:space="preserve">6  </w:t>
      </w:r>
      <w:r>
        <w:rPr>
          <w:rFonts w:hint="eastAsia" w:ascii="宋体" w:hAnsi="宋体" w:eastAsia="宋体"/>
        </w:rPr>
        <w:t>医院辐射工作人员2021年度职业健康检查报告；</w:t>
      </w:r>
    </w:p>
    <w:p>
      <w:pPr>
        <w:pStyle w:val="2"/>
        <w:ind w:left="1440" w:leftChars="200" w:hanging="960" w:hangingChars="400"/>
        <w:rPr>
          <w:rFonts w:ascii="宋体" w:hAnsi="宋体" w:eastAsia="宋体"/>
        </w:rPr>
      </w:pPr>
      <w:r>
        <w:rPr>
          <w:rFonts w:hint="eastAsia" w:ascii="宋体" w:hAnsi="宋体" w:eastAsia="宋体"/>
        </w:rPr>
        <w:t>附件</w:t>
      </w:r>
      <w:r>
        <w:rPr>
          <w:rFonts w:ascii="宋体" w:hAnsi="宋体" w:eastAsia="宋体"/>
        </w:rPr>
        <w:t xml:space="preserve">7 </w:t>
      </w:r>
      <w:r>
        <w:rPr>
          <w:rFonts w:hint="eastAsia" w:ascii="宋体" w:hAnsi="宋体" w:eastAsia="宋体"/>
        </w:rPr>
        <w:t>通用环球中铁关于调整辐射卫生管理机构及领导小组的通知；</w:t>
      </w:r>
    </w:p>
    <w:p>
      <w:pPr>
        <w:pStyle w:val="2"/>
        <w:ind w:firstLine="480"/>
        <w:rPr>
          <w:rFonts w:ascii="宋体" w:hAnsi="宋体" w:eastAsia="宋体"/>
        </w:rPr>
      </w:pPr>
      <w:r>
        <w:rPr>
          <w:rFonts w:hint="eastAsia" w:ascii="宋体" w:hAnsi="宋体" w:eastAsia="宋体"/>
        </w:rPr>
        <w:t>附件</w:t>
      </w:r>
      <w:r>
        <w:rPr>
          <w:rFonts w:ascii="宋体" w:hAnsi="宋体" w:eastAsia="宋体"/>
        </w:rPr>
        <w:t xml:space="preserve">8  </w:t>
      </w:r>
      <w:r>
        <w:rPr>
          <w:rFonts w:hint="eastAsia" w:ascii="宋体" w:hAnsi="宋体" w:eastAsia="宋体"/>
        </w:rPr>
        <w:t>医院DSA工作场所以及周边环境现状监测报告；</w:t>
      </w:r>
    </w:p>
    <w:p>
      <w:pPr>
        <w:spacing w:after="120"/>
        <w:ind w:firstLine="480"/>
        <w:rPr>
          <w:rFonts w:ascii="宋体" w:hAnsi="宋体"/>
        </w:rPr>
      </w:pPr>
      <w:r>
        <w:rPr>
          <w:rFonts w:hint="eastAsia" w:ascii="宋体" w:hAnsi="宋体"/>
        </w:rPr>
        <w:t>附件</w:t>
      </w:r>
      <w:r>
        <w:rPr>
          <w:rFonts w:ascii="宋体" w:hAnsi="宋体"/>
        </w:rPr>
        <w:t xml:space="preserve">9 </w:t>
      </w:r>
      <w:r>
        <w:rPr>
          <w:rFonts w:hint="eastAsia" w:ascii="宋体" w:hAnsi="宋体"/>
        </w:rPr>
        <w:t>市场主体环境信用承诺书；</w:t>
      </w:r>
    </w:p>
    <w:p>
      <w:pPr>
        <w:spacing w:after="120"/>
        <w:ind w:firstLine="480"/>
        <w:rPr>
          <w:rFonts w:ascii="宋体" w:hAnsi="宋体"/>
        </w:rPr>
      </w:pPr>
      <w:r>
        <w:rPr>
          <w:rFonts w:hint="eastAsia" w:ascii="宋体" w:hAnsi="宋体"/>
        </w:rPr>
        <w:t>附件1</w:t>
      </w:r>
      <w:r>
        <w:rPr>
          <w:rFonts w:ascii="宋体" w:hAnsi="宋体"/>
        </w:rPr>
        <w:t>0</w:t>
      </w:r>
      <w:r>
        <w:rPr>
          <w:rFonts w:hint="eastAsia" w:ascii="宋体" w:hAnsi="宋体"/>
        </w:rPr>
        <w:t xml:space="preserve"> 报告公示截图；</w:t>
      </w:r>
    </w:p>
    <w:p>
      <w:pPr>
        <w:spacing w:after="120"/>
        <w:ind w:firstLine="480"/>
        <w:rPr>
          <w:rFonts w:ascii="宋体" w:hAnsi="宋体"/>
        </w:rPr>
        <w:sectPr>
          <w:headerReference r:id="rId4" w:type="default"/>
          <w:pgSz w:w="11906" w:h="16838"/>
          <w:pgMar w:top="1440" w:right="1440" w:bottom="1440" w:left="144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r>
        <w:rPr>
          <w:rFonts w:hint="eastAsia" w:ascii="宋体" w:hAnsi="宋体"/>
        </w:rPr>
        <w:t>附件</w:t>
      </w:r>
      <w:r>
        <w:rPr>
          <w:rFonts w:ascii="宋体" w:hAnsi="宋体"/>
        </w:rPr>
        <w:t xml:space="preserve">11 </w:t>
      </w:r>
      <w:r>
        <w:rPr>
          <w:rFonts w:hint="eastAsia" w:ascii="宋体" w:hAnsi="宋体"/>
        </w:rPr>
        <w:t>项目执行标准的申请文。</w:t>
      </w:r>
      <w:bookmarkEnd w:id="2"/>
    </w:p>
    <w:p>
      <w:pPr>
        <w:pStyle w:val="3"/>
        <w:rPr>
          <w:color w:val="000000"/>
          <w:sz w:val="28"/>
          <w:szCs w:val="28"/>
        </w:rPr>
      </w:pPr>
      <w:bookmarkStart w:id="3" w:name="_Toc29706"/>
      <w:r>
        <w:rPr>
          <w:color w:val="000000"/>
          <w:sz w:val="28"/>
          <w:szCs w:val="28"/>
        </w:rPr>
        <w:t>表1 项目基本情况</w:t>
      </w:r>
      <w:bookmarkEnd w:id="3"/>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254"/>
        <w:gridCol w:w="1071"/>
        <w:gridCol w:w="1622"/>
        <w:gridCol w:w="993"/>
        <w:gridCol w:w="1835"/>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55" w:type="dxa"/>
            <w:gridSpan w:val="2"/>
            <w:vAlign w:val="center"/>
          </w:tcPr>
          <w:p>
            <w:pPr>
              <w:jc w:val="center"/>
              <w:rPr>
                <w:b/>
                <w:bCs/>
                <w:color w:val="000000"/>
              </w:rPr>
            </w:pPr>
            <w:r>
              <w:rPr>
                <w:b/>
                <w:bCs/>
                <w:color w:val="000000"/>
              </w:rPr>
              <w:t>建设项目名称</w:t>
            </w:r>
          </w:p>
        </w:tc>
        <w:tc>
          <w:tcPr>
            <w:tcW w:w="7287" w:type="dxa"/>
            <w:gridSpan w:val="5"/>
            <w:vAlign w:val="center"/>
          </w:tcPr>
          <w:p>
            <w:pPr>
              <w:adjustRightInd w:val="0"/>
              <w:snapToGrid w:val="0"/>
              <w:jc w:val="center"/>
              <w:rPr>
                <w:color w:val="000000"/>
              </w:rPr>
            </w:pPr>
            <w:r>
              <w:rPr>
                <w:rFonts w:hint="eastAsia"/>
                <w:color w:val="000000"/>
              </w:rPr>
              <w:t>通用环球中铁西安医院数字减影血管造影机核技术利用项目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55" w:type="dxa"/>
            <w:gridSpan w:val="2"/>
            <w:vAlign w:val="center"/>
          </w:tcPr>
          <w:p>
            <w:pPr>
              <w:jc w:val="center"/>
              <w:rPr>
                <w:b/>
                <w:bCs/>
                <w:color w:val="000000"/>
                <w:szCs w:val="22"/>
              </w:rPr>
            </w:pPr>
            <w:r>
              <w:rPr>
                <w:b/>
                <w:bCs/>
                <w:color w:val="000000"/>
                <w:szCs w:val="22"/>
              </w:rPr>
              <w:t>建设单位</w:t>
            </w:r>
          </w:p>
        </w:tc>
        <w:tc>
          <w:tcPr>
            <w:tcW w:w="7287" w:type="dxa"/>
            <w:gridSpan w:val="5"/>
            <w:vAlign w:val="center"/>
          </w:tcPr>
          <w:p>
            <w:pPr>
              <w:adjustRightInd w:val="0"/>
              <w:snapToGrid w:val="0"/>
              <w:jc w:val="center"/>
              <w:rPr>
                <w:color w:val="000000"/>
              </w:rPr>
            </w:pPr>
            <w:r>
              <w:rPr>
                <w:rFonts w:hint="eastAsia"/>
                <w:color w:val="000000"/>
              </w:rPr>
              <w:t>通用环球中铁西安医院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55" w:type="dxa"/>
            <w:gridSpan w:val="2"/>
            <w:vAlign w:val="center"/>
          </w:tcPr>
          <w:p>
            <w:pPr>
              <w:jc w:val="center"/>
              <w:rPr>
                <w:b/>
                <w:bCs/>
                <w:color w:val="000000"/>
                <w:szCs w:val="22"/>
              </w:rPr>
            </w:pPr>
            <w:r>
              <w:rPr>
                <w:b/>
                <w:bCs/>
                <w:color w:val="000000"/>
                <w:szCs w:val="22"/>
              </w:rPr>
              <w:t>法人代表</w:t>
            </w:r>
          </w:p>
        </w:tc>
        <w:tc>
          <w:tcPr>
            <w:tcW w:w="1071" w:type="dxa"/>
            <w:vAlign w:val="center"/>
          </w:tcPr>
          <w:p>
            <w:pPr>
              <w:adjustRightInd w:val="0"/>
              <w:snapToGrid w:val="0"/>
              <w:jc w:val="center"/>
              <w:rPr>
                <w:rFonts w:hint="eastAsia"/>
                <w:color w:val="000000"/>
                <w:lang w:eastAsia="zh-CN"/>
              </w:rPr>
            </w:pPr>
            <w:r>
              <w:rPr>
                <w:rFonts w:hint="eastAsia"/>
                <w:color w:val="000000"/>
                <w:lang w:eastAsia="zh-CN"/>
              </w:rPr>
              <w:t>梁晓霞</w:t>
            </w:r>
          </w:p>
        </w:tc>
        <w:tc>
          <w:tcPr>
            <w:tcW w:w="1622" w:type="dxa"/>
            <w:vAlign w:val="center"/>
          </w:tcPr>
          <w:p>
            <w:pPr>
              <w:adjustRightInd w:val="0"/>
              <w:snapToGrid w:val="0"/>
              <w:jc w:val="center"/>
              <w:rPr>
                <w:rFonts w:hint="eastAsia"/>
                <w:color w:val="000000"/>
              </w:rPr>
            </w:pPr>
            <w:r>
              <w:rPr>
                <w:rFonts w:hint="eastAsia"/>
                <w:color w:val="000000"/>
              </w:rPr>
              <w:t>联系人</w:t>
            </w:r>
          </w:p>
        </w:tc>
        <w:tc>
          <w:tcPr>
            <w:tcW w:w="993" w:type="dxa"/>
            <w:vAlign w:val="center"/>
          </w:tcPr>
          <w:p>
            <w:pPr>
              <w:adjustRightInd w:val="0"/>
              <w:snapToGrid w:val="0"/>
              <w:jc w:val="center"/>
              <w:rPr>
                <w:rFonts w:hint="eastAsia"/>
                <w:color w:val="000000"/>
                <w:lang w:eastAsia="zh-CN"/>
              </w:rPr>
            </w:pPr>
            <w:r>
              <w:rPr>
                <w:rFonts w:hint="eastAsia"/>
                <w:color w:val="000000"/>
                <w:lang w:eastAsia="zh-CN"/>
              </w:rPr>
              <w:t>宋琦</w:t>
            </w:r>
          </w:p>
        </w:tc>
        <w:tc>
          <w:tcPr>
            <w:tcW w:w="1835" w:type="dxa"/>
            <w:vAlign w:val="center"/>
          </w:tcPr>
          <w:p>
            <w:pPr>
              <w:adjustRightInd w:val="0"/>
              <w:snapToGrid w:val="0"/>
              <w:jc w:val="center"/>
              <w:rPr>
                <w:rFonts w:hint="eastAsia"/>
                <w:color w:val="000000"/>
              </w:rPr>
            </w:pPr>
            <w:r>
              <w:rPr>
                <w:rFonts w:hint="eastAsia"/>
                <w:color w:val="000000"/>
              </w:rPr>
              <w:t>联系电话</w:t>
            </w:r>
          </w:p>
        </w:tc>
        <w:tc>
          <w:tcPr>
            <w:tcW w:w="1766" w:type="dxa"/>
            <w:vAlign w:val="center"/>
          </w:tcPr>
          <w:p>
            <w:pPr>
              <w:adjustRightInd w:val="0"/>
              <w:snapToGrid w:val="0"/>
              <w:jc w:val="center"/>
              <w:rPr>
                <w:rFonts w:hint="eastAsia"/>
                <w:color w:val="000000"/>
              </w:rPr>
            </w:pPr>
            <w:r>
              <w:rPr>
                <w:rFonts w:hint="eastAsia"/>
                <w:color w:val="000000"/>
                <w:lang w:val="en-US" w:eastAsia="zh-CN"/>
              </w:rPr>
              <w:t>029-87865024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55" w:type="dxa"/>
            <w:gridSpan w:val="2"/>
            <w:vAlign w:val="center"/>
          </w:tcPr>
          <w:p>
            <w:pPr>
              <w:jc w:val="center"/>
              <w:rPr>
                <w:b/>
                <w:bCs/>
                <w:color w:val="000000"/>
                <w:szCs w:val="22"/>
              </w:rPr>
            </w:pPr>
            <w:r>
              <w:rPr>
                <w:b/>
                <w:bCs/>
                <w:color w:val="000000"/>
                <w:szCs w:val="22"/>
              </w:rPr>
              <w:t>注册地址</w:t>
            </w:r>
          </w:p>
        </w:tc>
        <w:tc>
          <w:tcPr>
            <w:tcW w:w="7287" w:type="dxa"/>
            <w:gridSpan w:val="5"/>
            <w:vAlign w:val="center"/>
          </w:tcPr>
          <w:p>
            <w:pPr>
              <w:adjustRightInd w:val="0"/>
              <w:snapToGrid w:val="0"/>
              <w:jc w:val="center"/>
              <w:rPr>
                <w:color w:val="000000"/>
              </w:rPr>
            </w:pPr>
            <w:r>
              <w:rPr>
                <w:rFonts w:hint="eastAsia"/>
                <w:color w:val="000000"/>
              </w:rPr>
              <w:t>陕西省西安市碑林区雁塔路9号中铁第壹国际B座8层806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55" w:type="dxa"/>
            <w:gridSpan w:val="2"/>
            <w:vAlign w:val="center"/>
          </w:tcPr>
          <w:p>
            <w:pPr>
              <w:jc w:val="center"/>
              <w:rPr>
                <w:b/>
                <w:bCs/>
                <w:color w:val="000000"/>
                <w:szCs w:val="22"/>
              </w:rPr>
            </w:pPr>
            <w:r>
              <w:rPr>
                <w:b/>
                <w:bCs/>
                <w:color w:val="000000"/>
                <w:szCs w:val="22"/>
              </w:rPr>
              <w:t>项目建设地点</w:t>
            </w:r>
          </w:p>
        </w:tc>
        <w:tc>
          <w:tcPr>
            <w:tcW w:w="7287" w:type="dxa"/>
            <w:gridSpan w:val="5"/>
            <w:vAlign w:val="center"/>
          </w:tcPr>
          <w:p>
            <w:pPr>
              <w:pStyle w:val="11"/>
              <w:jc w:val="center"/>
              <w:rPr>
                <w:color w:val="000000"/>
                <w:sz w:val="24"/>
                <w:szCs w:val="24"/>
              </w:rPr>
            </w:pPr>
            <w:r>
              <w:rPr>
                <w:rFonts w:hint="eastAsia"/>
                <w:color w:val="000000"/>
                <w:sz w:val="24"/>
                <w:szCs w:val="24"/>
              </w:rPr>
              <w:t>西安市南二环东段319号通用环球中铁西安医院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5" w:type="dxa"/>
            <w:gridSpan w:val="2"/>
            <w:vAlign w:val="center"/>
          </w:tcPr>
          <w:p>
            <w:pPr>
              <w:jc w:val="center"/>
              <w:rPr>
                <w:b/>
                <w:bCs/>
                <w:color w:val="000000"/>
                <w:szCs w:val="22"/>
              </w:rPr>
            </w:pPr>
            <w:r>
              <w:rPr>
                <w:b/>
                <w:bCs/>
                <w:color w:val="000000"/>
                <w:szCs w:val="22"/>
              </w:rPr>
              <w:t>立项审批部门</w:t>
            </w:r>
          </w:p>
        </w:tc>
        <w:tc>
          <w:tcPr>
            <w:tcW w:w="2693" w:type="dxa"/>
            <w:gridSpan w:val="2"/>
            <w:vAlign w:val="center"/>
          </w:tcPr>
          <w:p>
            <w:pPr>
              <w:adjustRightInd w:val="0"/>
              <w:snapToGrid w:val="0"/>
              <w:jc w:val="center"/>
              <w:rPr>
                <w:color w:val="000000"/>
              </w:rPr>
            </w:pPr>
            <w:r>
              <w:rPr>
                <w:color w:val="000000"/>
                <w:szCs w:val="22"/>
              </w:rPr>
              <w:t>/</w:t>
            </w:r>
          </w:p>
        </w:tc>
        <w:tc>
          <w:tcPr>
            <w:tcW w:w="993" w:type="dxa"/>
            <w:vAlign w:val="center"/>
          </w:tcPr>
          <w:p>
            <w:pPr>
              <w:adjustRightInd w:val="0"/>
              <w:snapToGrid w:val="0"/>
              <w:jc w:val="center"/>
              <w:rPr>
                <w:b/>
                <w:bCs/>
                <w:color w:val="000000"/>
                <w:szCs w:val="22"/>
              </w:rPr>
            </w:pPr>
            <w:r>
              <w:rPr>
                <w:b/>
                <w:bCs/>
                <w:color w:val="000000"/>
                <w:szCs w:val="22"/>
              </w:rPr>
              <w:t>批准</w:t>
            </w:r>
          </w:p>
          <w:p>
            <w:pPr>
              <w:adjustRightInd w:val="0"/>
              <w:snapToGrid w:val="0"/>
              <w:jc w:val="center"/>
              <w:rPr>
                <w:color w:val="000000"/>
              </w:rPr>
            </w:pPr>
            <w:r>
              <w:rPr>
                <w:b/>
                <w:bCs/>
                <w:color w:val="000000"/>
                <w:szCs w:val="22"/>
              </w:rPr>
              <w:t>文号</w:t>
            </w:r>
          </w:p>
        </w:tc>
        <w:tc>
          <w:tcPr>
            <w:tcW w:w="3601" w:type="dxa"/>
            <w:gridSpan w:val="2"/>
            <w:vAlign w:val="center"/>
          </w:tcPr>
          <w:p>
            <w:pPr>
              <w:adjustRightInd w:val="0"/>
              <w:snapToGrid w:val="0"/>
              <w:jc w:val="center"/>
              <w:rPr>
                <w:color w:val="000000"/>
              </w:rPr>
            </w:pPr>
            <w:r>
              <w:rPr>
                <w:color w:val="000000"/>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55" w:type="dxa"/>
            <w:gridSpan w:val="2"/>
            <w:vAlign w:val="center"/>
          </w:tcPr>
          <w:p>
            <w:pPr>
              <w:jc w:val="center"/>
              <w:rPr>
                <w:b/>
                <w:bCs/>
                <w:color w:val="000000"/>
                <w:szCs w:val="22"/>
              </w:rPr>
            </w:pPr>
            <w:r>
              <w:rPr>
                <w:b/>
                <w:bCs/>
                <w:color w:val="000000"/>
                <w:szCs w:val="22"/>
              </w:rPr>
              <w:t>建设项目总投资（万元）</w:t>
            </w:r>
          </w:p>
        </w:tc>
        <w:tc>
          <w:tcPr>
            <w:tcW w:w="1071" w:type="dxa"/>
            <w:vAlign w:val="center"/>
          </w:tcPr>
          <w:p>
            <w:pPr>
              <w:jc w:val="center"/>
              <w:rPr>
                <w:b/>
                <w:bCs/>
                <w:color w:val="000000"/>
                <w:szCs w:val="22"/>
              </w:rPr>
            </w:pPr>
            <w:r>
              <w:rPr>
                <w:rFonts w:hint="eastAsia"/>
                <w:b/>
                <w:bCs/>
                <w:color w:val="000000"/>
                <w:szCs w:val="22"/>
              </w:rPr>
              <w:t>1</w:t>
            </w:r>
            <w:r>
              <w:rPr>
                <w:b/>
                <w:bCs/>
                <w:color w:val="000000"/>
                <w:szCs w:val="22"/>
              </w:rPr>
              <w:t>000</w:t>
            </w:r>
          </w:p>
        </w:tc>
        <w:tc>
          <w:tcPr>
            <w:tcW w:w="1622" w:type="dxa"/>
            <w:vAlign w:val="center"/>
          </w:tcPr>
          <w:p>
            <w:pPr>
              <w:jc w:val="center"/>
              <w:rPr>
                <w:b/>
                <w:bCs/>
                <w:color w:val="000000"/>
                <w:szCs w:val="22"/>
              </w:rPr>
            </w:pPr>
            <w:r>
              <w:rPr>
                <w:b/>
                <w:bCs/>
                <w:color w:val="000000"/>
                <w:szCs w:val="22"/>
              </w:rPr>
              <w:t>项目环保投资（万元）</w:t>
            </w:r>
          </w:p>
        </w:tc>
        <w:tc>
          <w:tcPr>
            <w:tcW w:w="993" w:type="dxa"/>
            <w:vAlign w:val="center"/>
          </w:tcPr>
          <w:p>
            <w:pPr>
              <w:jc w:val="center"/>
              <w:rPr>
                <w:b/>
                <w:bCs/>
                <w:color w:val="000000"/>
                <w:szCs w:val="22"/>
              </w:rPr>
            </w:pPr>
            <w:r>
              <w:rPr>
                <w:rFonts w:hint="eastAsia"/>
                <w:b/>
                <w:bCs/>
                <w:color w:val="000000"/>
                <w:szCs w:val="22"/>
              </w:rPr>
              <w:t>2</w:t>
            </w:r>
            <w:r>
              <w:rPr>
                <w:b/>
                <w:bCs/>
                <w:color w:val="000000"/>
                <w:szCs w:val="22"/>
              </w:rPr>
              <w:t>9</w:t>
            </w:r>
          </w:p>
        </w:tc>
        <w:tc>
          <w:tcPr>
            <w:tcW w:w="1835" w:type="dxa"/>
            <w:vAlign w:val="center"/>
          </w:tcPr>
          <w:p>
            <w:pPr>
              <w:jc w:val="center"/>
              <w:rPr>
                <w:b/>
                <w:bCs/>
                <w:color w:val="000000"/>
                <w:szCs w:val="22"/>
              </w:rPr>
            </w:pPr>
            <w:r>
              <w:rPr>
                <w:b/>
                <w:bCs/>
                <w:color w:val="000000"/>
                <w:szCs w:val="22"/>
              </w:rPr>
              <w:t>投资比例（环保</w:t>
            </w:r>
          </w:p>
          <w:p>
            <w:pPr>
              <w:jc w:val="center"/>
              <w:rPr>
                <w:b/>
                <w:bCs/>
                <w:color w:val="000000"/>
                <w:szCs w:val="22"/>
              </w:rPr>
            </w:pPr>
            <w:r>
              <w:rPr>
                <w:b/>
                <w:bCs/>
                <w:color w:val="000000"/>
                <w:szCs w:val="22"/>
              </w:rPr>
              <w:t>投资/总投资）</w:t>
            </w:r>
          </w:p>
        </w:tc>
        <w:tc>
          <w:tcPr>
            <w:tcW w:w="1766" w:type="dxa"/>
            <w:vAlign w:val="center"/>
          </w:tcPr>
          <w:p>
            <w:pPr>
              <w:jc w:val="center"/>
              <w:rPr>
                <w:b/>
                <w:bCs/>
                <w:color w:val="000000"/>
                <w:szCs w:val="22"/>
              </w:rPr>
            </w:pPr>
            <w:r>
              <w:rPr>
                <w:rFonts w:hint="eastAsia"/>
                <w:b/>
                <w:bCs/>
                <w:color w:val="000000"/>
                <w:szCs w:val="22"/>
              </w:rPr>
              <w:t>2.</w:t>
            </w:r>
            <w:r>
              <w:rPr>
                <w:b/>
                <w:bCs/>
                <w:color w:val="000000"/>
                <w:szCs w:val="2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55" w:type="dxa"/>
            <w:gridSpan w:val="2"/>
            <w:vAlign w:val="center"/>
          </w:tcPr>
          <w:p>
            <w:pPr>
              <w:spacing w:line="360" w:lineRule="auto"/>
              <w:jc w:val="center"/>
              <w:rPr>
                <w:b/>
                <w:bCs/>
                <w:color w:val="000000"/>
                <w:szCs w:val="22"/>
              </w:rPr>
            </w:pPr>
            <w:r>
              <w:rPr>
                <w:b/>
                <w:bCs/>
                <w:color w:val="000000"/>
                <w:szCs w:val="22"/>
              </w:rPr>
              <w:t>项目性质</w:t>
            </w:r>
          </w:p>
        </w:tc>
        <w:tc>
          <w:tcPr>
            <w:tcW w:w="3686" w:type="dxa"/>
            <w:gridSpan w:val="3"/>
            <w:vAlign w:val="center"/>
          </w:tcPr>
          <w:p>
            <w:pPr>
              <w:adjustRightInd w:val="0"/>
              <w:snapToGrid w:val="0"/>
              <w:jc w:val="center"/>
              <w:rPr>
                <w:color w:val="000000"/>
              </w:rPr>
            </w:pPr>
            <w:r>
              <w:rPr>
                <w:color w:val="000000"/>
              </w:rPr>
              <w:sym w:font="Wingdings 2" w:char="00A3"/>
            </w:r>
            <w:r>
              <w:rPr>
                <w:color w:val="000000"/>
              </w:rPr>
              <w:t>新建</w:t>
            </w:r>
            <w:r>
              <w:rPr>
                <w:color w:val="000000"/>
              </w:rPr>
              <w:sym w:font="Wingdings 2" w:char="00A3"/>
            </w:r>
            <w:r>
              <w:rPr>
                <w:color w:val="000000"/>
              </w:rPr>
              <w:t xml:space="preserve">改建 </w:t>
            </w:r>
            <w:r>
              <w:rPr>
                <w:color w:val="000000"/>
              </w:rPr>
              <w:sym w:font="Wingdings 2" w:char="0052"/>
            </w:r>
            <w:r>
              <w:rPr>
                <w:color w:val="000000"/>
              </w:rPr>
              <w:t xml:space="preserve">扩建 </w:t>
            </w:r>
            <w:r>
              <w:rPr>
                <w:color w:val="000000"/>
              </w:rPr>
              <w:sym w:font="Wingdings 2" w:char="00A3"/>
            </w:r>
            <w:r>
              <w:rPr>
                <w:color w:val="000000"/>
              </w:rPr>
              <w:t>其他</w:t>
            </w:r>
          </w:p>
        </w:tc>
        <w:tc>
          <w:tcPr>
            <w:tcW w:w="1835" w:type="dxa"/>
            <w:vAlign w:val="center"/>
          </w:tcPr>
          <w:p>
            <w:pPr>
              <w:adjustRightInd w:val="0"/>
              <w:snapToGrid w:val="0"/>
              <w:jc w:val="center"/>
              <w:rPr>
                <w:color w:val="000000"/>
              </w:rPr>
            </w:pPr>
            <w:r>
              <w:rPr>
                <w:color w:val="000000"/>
              </w:rPr>
              <w:t>占地面积</w:t>
            </w:r>
          </w:p>
        </w:tc>
        <w:tc>
          <w:tcPr>
            <w:tcW w:w="1766" w:type="dxa"/>
            <w:vAlign w:val="center"/>
          </w:tcPr>
          <w:p>
            <w:pPr>
              <w:adjustRightInd w:val="0"/>
              <w:snapToGrid w:val="0"/>
              <w:jc w:val="center"/>
              <w:rPr>
                <w:color w:val="000000"/>
              </w:rPr>
            </w:pPr>
            <w:r>
              <w:rPr>
                <w:color w:val="000000"/>
              </w:rPr>
              <w:t>约</w:t>
            </w:r>
            <w:r>
              <w:rPr>
                <w:rFonts w:hint="eastAsia"/>
                <w:color w:val="000000"/>
              </w:rPr>
              <w:t>3</w:t>
            </w:r>
            <w:r>
              <w:rPr>
                <w:color w:val="000000"/>
              </w:rPr>
              <w:t>9.71m</w:t>
            </w:r>
            <w:r>
              <w:rPr>
                <w:color w:val="00000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1" w:type="dxa"/>
            <w:vMerge w:val="restart"/>
            <w:vAlign w:val="center"/>
          </w:tcPr>
          <w:p>
            <w:pPr>
              <w:adjustRightInd w:val="0"/>
              <w:snapToGrid w:val="0"/>
              <w:jc w:val="center"/>
              <w:rPr>
                <w:b/>
                <w:bCs/>
                <w:color w:val="000000"/>
                <w:szCs w:val="22"/>
              </w:rPr>
            </w:pPr>
            <w:r>
              <w:rPr>
                <w:b/>
                <w:bCs/>
                <w:color w:val="000000"/>
                <w:szCs w:val="22"/>
              </w:rPr>
              <w:t>应用类型</w:t>
            </w:r>
          </w:p>
        </w:tc>
        <w:tc>
          <w:tcPr>
            <w:tcW w:w="1254" w:type="dxa"/>
            <w:vMerge w:val="restart"/>
            <w:vAlign w:val="center"/>
          </w:tcPr>
          <w:p>
            <w:pPr>
              <w:adjustRightInd w:val="0"/>
              <w:snapToGrid w:val="0"/>
              <w:jc w:val="center"/>
              <w:rPr>
                <w:b/>
                <w:bCs/>
                <w:color w:val="000000"/>
                <w:szCs w:val="22"/>
              </w:rPr>
            </w:pPr>
            <w:r>
              <w:rPr>
                <w:b/>
                <w:bCs/>
                <w:color w:val="000000"/>
                <w:szCs w:val="22"/>
              </w:rPr>
              <w:t>放射源</w:t>
            </w:r>
          </w:p>
        </w:tc>
        <w:tc>
          <w:tcPr>
            <w:tcW w:w="1071" w:type="dxa"/>
            <w:vAlign w:val="center"/>
          </w:tcPr>
          <w:p>
            <w:pPr>
              <w:adjustRightInd w:val="0"/>
              <w:snapToGrid w:val="0"/>
              <w:jc w:val="center"/>
              <w:rPr>
                <w:color w:val="000000"/>
              </w:rPr>
            </w:pPr>
            <w:r>
              <w:rPr>
                <w:color w:val="000000"/>
              </w:rPr>
              <w:sym w:font="Wingdings 2" w:char="00A3"/>
            </w:r>
            <w:r>
              <w:rPr>
                <w:color w:val="000000"/>
              </w:rPr>
              <w:t>销售</w:t>
            </w:r>
          </w:p>
        </w:tc>
        <w:tc>
          <w:tcPr>
            <w:tcW w:w="6216" w:type="dxa"/>
            <w:gridSpan w:val="4"/>
            <w:vAlign w:val="center"/>
          </w:tcPr>
          <w:p>
            <w:pPr>
              <w:adjustRightInd w:val="0"/>
              <w:snapToGrid w:val="0"/>
              <w:jc w:val="center"/>
              <w:rPr>
                <w:color w:val="000000"/>
              </w:rPr>
            </w:pPr>
            <w:r>
              <w:rPr>
                <w:color w:val="000000"/>
              </w:rPr>
              <w:sym w:font="Wingdings 2" w:char="00A3"/>
            </w:r>
            <w:r>
              <w:rPr>
                <w:color w:val="000000"/>
              </w:rPr>
              <w:t xml:space="preserve">I类 </w:t>
            </w:r>
            <w:r>
              <w:rPr>
                <w:color w:val="000000"/>
              </w:rPr>
              <w:sym w:font="Wingdings 2" w:char="00A3"/>
            </w:r>
            <w:r>
              <w:rPr>
                <w:color w:val="000000"/>
              </w:rPr>
              <w:t xml:space="preserve">Ⅱ类 </w:t>
            </w:r>
            <w:r>
              <w:rPr>
                <w:color w:val="000000"/>
              </w:rPr>
              <w:sym w:font="Wingdings 2" w:char="00A3"/>
            </w:r>
            <w:r>
              <w:rPr>
                <w:color w:val="000000"/>
              </w:rPr>
              <w:t xml:space="preserve">Ⅲ类 </w:t>
            </w:r>
            <w:r>
              <w:rPr>
                <w:color w:val="000000"/>
              </w:rPr>
              <w:sym w:font="Wingdings 2" w:char="00A3"/>
            </w:r>
            <w:r>
              <w:rPr>
                <w:color w:val="000000"/>
              </w:rPr>
              <w:t xml:space="preserve">Ⅳ类 </w:t>
            </w:r>
            <w:r>
              <w:rPr>
                <w:color w:val="000000"/>
              </w:rPr>
              <w:sym w:font="Wingdings 2" w:char="00A3"/>
            </w:r>
            <w:r>
              <w:rPr>
                <w:color w:val="000000"/>
              </w:rPr>
              <w:t>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1" w:type="dxa"/>
            <w:vMerge w:val="continue"/>
            <w:vAlign w:val="center"/>
          </w:tcPr>
          <w:p>
            <w:pPr>
              <w:adjustRightInd w:val="0"/>
              <w:snapToGrid w:val="0"/>
              <w:jc w:val="center"/>
              <w:rPr>
                <w:b/>
                <w:bCs/>
                <w:color w:val="000000"/>
                <w:szCs w:val="22"/>
              </w:rPr>
            </w:pPr>
          </w:p>
        </w:tc>
        <w:tc>
          <w:tcPr>
            <w:tcW w:w="1254" w:type="dxa"/>
            <w:vMerge w:val="continue"/>
            <w:vAlign w:val="center"/>
          </w:tcPr>
          <w:p>
            <w:pPr>
              <w:adjustRightInd w:val="0"/>
              <w:snapToGrid w:val="0"/>
              <w:jc w:val="center"/>
              <w:rPr>
                <w:b/>
                <w:bCs/>
                <w:color w:val="000000"/>
                <w:szCs w:val="22"/>
              </w:rPr>
            </w:pPr>
          </w:p>
        </w:tc>
        <w:tc>
          <w:tcPr>
            <w:tcW w:w="1071" w:type="dxa"/>
            <w:vAlign w:val="center"/>
          </w:tcPr>
          <w:p>
            <w:pPr>
              <w:adjustRightInd w:val="0"/>
              <w:snapToGrid w:val="0"/>
              <w:jc w:val="center"/>
              <w:rPr>
                <w:color w:val="000000"/>
              </w:rPr>
            </w:pPr>
            <w:r>
              <w:rPr>
                <w:color w:val="000000"/>
              </w:rPr>
              <w:sym w:font="Wingdings 2" w:char="00A3"/>
            </w:r>
            <w:r>
              <w:rPr>
                <w:color w:val="000000"/>
              </w:rPr>
              <w:t>使用</w:t>
            </w:r>
          </w:p>
        </w:tc>
        <w:tc>
          <w:tcPr>
            <w:tcW w:w="6216" w:type="dxa"/>
            <w:gridSpan w:val="4"/>
            <w:vAlign w:val="center"/>
          </w:tcPr>
          <w:p>
            <w:pPr>
              <w:adjustRightInd w:val="0"/>
              <w:snapToGrid w:val="0"/>
              <w:jc w:val="center"/>
              <w:rPr>
                <w:color w:val="000000"/>
              </w:rPr>
            </w:pPr>
            <w:r>
              <w:rPr>
                <w:color w:val="000000"/>
              </w:rPr>
              <w:sym w:font="Wingdings 2" w:char="00A3"/>
            </w:r>
            <w:r>
              <w:rPr>
                <w:color w:val="000000"/>
              </w:rPr>
              <w:t xml:space="preserve">I类（医疗使用） </w:t>
            </w:r>
            <w:r>
              <w:rPr>
                <w:color w:val="000000"/>
              </w:rPr>
              <w:sym w:font="Wingdings 2" w:char="00A3"/>
            </w:r>
            <w:r>
              <w:rPr>
                <w:color w:val="000000"/>
              </w:rPr>
              <w:t xml:space="preserve">Ⅱ类 </w:t>
            </w:r>
            <w:r>
              <w:rPr>
                <w:color w:val="000000"/>
              </w:rPr>
              <w:sym w:font="Wingdings 2" w:char="00A3"/>
            </w:r>
            <w:r>
              <w:rPr>
                <w:color w:val="000000"/>
              </w:rPr>
              <w:t xml:space="preserve">Ⅲ类 </w:t>
            </w:r>
            <w:r>
              <w:rPr>
                <w:color w:val="000000"/>
              </w:rPr>
              <w:sym w:font="Wingdings 2" w:char="00A3"/>
            </w:r>
            <w:r>
              <w:rPr>
                <w:color w:val="000000"/>
              </w:rPr>
              <w:t xml:space="preserve">Ⅳ类 </w:t>
            </w:r>
            <w:r>
              <w:rPr>
                <w:color w:val="000000"/>
              </w:rPr>
              <w:sym w:font="Wingdings 2" w:char="00A3"/>
            </w:r>
            <w:r>
              <w:rPr>
                <w:color w:val="000000"/>
              </w:rPr>
              <w:t>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1" w:type="dxa"/>
            <w:vMerge w:val="continue"/>
            <w:vAlign w:val="center"/>
          </w:tcPr>
          <w:p>
            <w:pPr>
              <w:adjustRightInd w:val="0"/>
              <w:snapToGrid w:val="0"/>
              <w:jc w:val="center"/>
              <w:rPr>
                <w:b/>
                <w:bCs/>
                <w:color w:val="000000"/>
                <w:szCs w:val="22"/>
              </w:rPr>
            </w:pPr>
          </w:p>
        </w:tc>
        <w:tc>
          <w:tcPr>
            <w:tcW w:w="1254" w:type="dxa"/>
            <w:vMerge w:val="restart"/>
            <w:vAlign w:val="center"/>
          </w:tcPr>
          <w:p>
            <w:pPr>
              <w:adjustRightInd w:val="0"/>
              <w:snapToGrid w:val="0"/>
              <w:jc w:val="center"/>
              <w:rPr>
                <w:b/>
                <w:bCs/>
                <w:color w:val="000000"/>
                <w:szCs w:val="22"/>
              </w:rPr>
            </w:pPr>
            <w:r>
              <w:rPr>
                <w:b/>
                <w:bCs/>
                <w:color w:val="000000"/>
                <w:szCs w:val="22"/>
              </w:rPr>
              <w:t>非密封放射性物质</w:t>
            </w:r>
          </w:p>
        </w:tc>
        <w:tc>
          <w:tcPr>
            <w:tcW w:w="1071" w:type="dxa"/>
            <w:vAlign w:val="center"/>
          </w:tcPr>
          <w:p>
            <w:pPr>
              <w:adjustRightInd w:val="0"/>
              <w:snapToGrid w:val="0"/>
              <w:jc w:val="center"/>
              <w:rPr>
                <w:color w:val="000000"/>
              </w:rPr>
            </w:pPr>
            <w:r>
              <w:rPr>
                <w:color w:val="000000"/>
              </w:rPr>
              <w:sym w:font="Wingdings 2" w:char="00A3"/>
            </w:r>
            <w:r>
              <w:rPr>
                <w:color w:val="000000"/>
              </w:rPr>
              <w:t>生产</w:t>
            </w:r>
          </w:p>
        </w:tc>
        <w:tc>
          <w:tcPr>
            <w:tcW w:w="6216" w:type="dxa"/>
            <w:gridSpan w:val="4"/>
            <w:vAlign w:val="center"/>
          </w:tcPr>
          <w:p>
            <w:pPr>
              <w:adjustRightInd w:val="0"/>
              <w:snapToGrid w:val="0"/>
              <w:jc w:val="center"/>
              <w:rPr>
                <w:color w:val="000000"/>
              </w:rPr>
            </w:pPr>
            <w:r>
              <w:rPr>
                <w:color w:val="000000"/>
              </w:rPr>
              <w:sym w:font="Wingdings 2" w:char="00A3"/>
            </w:r>
            <w:r>
              <w:rPr>
                <w:color w:val="000000"/>
              </w:rPr>
              <w:t>制备PET用放射性药物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1" w:type="dxa"/>
            <w:vMerge w:val="continue"/>
            <w:vAlign w:val="center"/>
          </w:tcPr>
          <w:p>
            <w:pPr>
              <w:adjustRightInd w:val="0"/>
              <w:snapToGrid w:val="0"/>
              <w:jc w:val="center"/>
              <w:rPr>
                <w:b/>
                <w:bCs/>
                <w:color w:val="000000"/>
                <w:szCs w:val="22"/>
              </w:rPr>
            </w:pPr>
          </w:p>
        </w:tc>
        <w:tc>
          <w:tcPr>
            <w:tcW w:w="1254" w:type="dxa"/>
            <w:vMerge w:val="continue"/>
            <w:vAlign w:val="center"/>
          </w:tcPr>
          <w:p>
            <w:pPr>
              <w:adjustRightInd w:val="0"/>
              <w:snapToGrid w:val="0"/>
              <w:jc w:val="center"/>
              <w:rPr>
                <w:b/>
                <w:bCs/>
                <w:color w:val="000000"/>
                <w:szCs w:val="22"/>
              </w:rPr>
            </w:pPr>
          </w:p>
        </w:tc>
        <w:tc>
          <w:tcPr>
            <w:tcW w:w="1071" w:type="dxa"/>
            <w:vAlign w:val="center"/>
          </w:tcPr>
          <w:p>
            <w:pPr>
              <w:adjustRightInd w:val="0"/>
              <w:snapToGrid w:val="0"/>
              <w:jc w:val="center"/>
              <w:rPr>
                <w:color w:val="000000"/>
              </w:rPr>
            </w:pPr>
            <w:r>
              <w:rPr>
                <w:color w:val="000000"/>
              </w:rPr>
              <w:sym w:font="Wingdings 2" w:char="00A3"/>
            </w:r>
            <w:r>
              <w:rPr>
                <w:color w:val="000000"/>
              </w:rPr>
              <w:t>销售</w:t>
            </w:r>
          </w:p>
        </w:tc>
        <w:tc>
          <w:tcPr>
            <w:tcW w:w="6216" w:type="dxa"/>
            <w:gridSpan w:val="4"/>
            <w:vAlign w:val="center"/>
          </w:tcPr>
          <w:p>
            <w:pPr>
              <w:adjustRightInd w:val="0"/>
              <w:snapToGrid w:val="0"/>
              <w:jc w:val="center"/>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1" w:type="dxa"/>
            <w:vMerge w:val="continue"/>
            <w:vAlign w:val="center"/>
          </w:tcPr>
          <w:p>
            <w:pPr>
              <w:adjustRightInd w:val="0"/>
              <w:snapToGrid w:val="0"/>
              <w:jc w:val="center"/>
              <w:rPr>
                <w:b/>
                <w:bCs/>
                <w:color w:val="000000"/>
                <w:szCs w:val="22"/>
              </w:rPr>
            </w:pPr>
          </w:p>
        </w:tc>
        <w:tc>
          <w:tcPr>
            <w:tcW w:w="1254" w:type="dxa"/>
            <w:vMerge w:val="continue"/>
            <w:vAlign w:val="center"/>
          </w:tcPr>
          <w:p>
            <w:pPr>
              <w:adjustRightInd w:val="0"/>
              <w:snapToGrid w:val="0"/>
              <w:jc w:val="center"/>
              <w:rPr>
                <w:b/>
                <w:bCs/>
                <w:color w:val="000000"/>
                <w:szCs w:val="22"/>
              </w:rPr>
            </w:pPr>
          </w:p>
        </w:tc>
        <w:tc>
          <w:tcPr>
            <w:tcW w:w="1071" w:type="dxa"/>
            <w:vAlign w:val="center"/>
          </w:tcPr>
          <w:p>
            <w:pPr>
              <w:adjustRightInd w:val="0"/>
              <w:snapToGrid w:val="0"/>
              <w:jc w:val="center"/>
              <w:rPr>
                <w:color w:val="000000"/>
              </w:rPr>
            </w:pPr>
            <w:r>
              <w:rPr>
                <w:color w:val="000000"/>
              </w:rPr>
              <w:sym w:font="Wingdings 2" w:char="00A3"/>
            </w:r>
            <w:r>
              <w:rPr>
                <w:color w:val="000000"/>
              </w:rPr>
              <w:t>使用</w:t>
            </w:r>
          </w:p>
        </w:tc>
        <w:tc>
          <w:tcPr>
            <w:tcW w:w="6216" w:type="dxa"/>
            <w:gridSpan w:val="4"/>
            <w:vAlign w:val="center"/>
          </w:tcPr>
          <w:p>
            <w:pPr>
              <w:adjustRightInd w:val="0"/>
              <w:snapToGrid w:val="0"/>
              <w:jc w:val="center"/>
              <w:rPr>
                <w:color w:val="000000"/>
              </w:rPr>
            </w:pPr>
            <w:r>
              <w:rPr>
                <w:color w:val="000000"/>
              </w:rPr>
              <w:sym w:font="Wingdings 2" w:char="00A3"/>
            </w:r>
            <w:r>
              <w:rPr>
                <w:color w:val="000000"/>
              </w:rPr>
              <w:t xml:space="preserve">乙 </w:t>
            </w:r>
            <w:r>
              <w:rPr>
                <w:color w:val="000000"/>
              </w:rPr>
              <w:sym w:font="Wingdings 2" w:char="00A3"/>
            </w:r>
            <w:r>
              <w:rPr>
                <w:color w:val="000000"/>
              </w:rPr>
              <w:t>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1" w:type="dxa"/>
            <w:vMerge w:val="continue"/>
            <w:vAlign w:val="center"/>
          </w:tcPr>
          <w:p>
            <w:pPr>
              <w:adjustRightInd w:val="0"/>
              <w:snapToGrid w:val="0"/>
              <w:jc w:val="center"/>
              <w:rPr>
                <w:b/>
                <w:bCs/>
                <w:color w:val="000000"/>
                <w:szCs w:val="22"/>
              </w:rPr>
            </w:pPr>
          </w:p>
        </w:tc>
        <w:tc>
          <w:tcPr>
            <w:tcW w:w="1254" w:type="dxa"/>
            <w:vMerge w:val="restart"/>
            <w:vAlign w:val="center"/>
          </w:tcPr>
          <w:p>
            <w:pPr>
              <w:adjustRightInd w:val="0"/>
              <w:snapToGrid w:val="0"/>
              <w:jc w:val="center"/>
              <w:rPr>
                <w:b/>
                <w:bCs/>
                <w:color w:val="000000"/>
                <w:szCs w:val="22"/>
              </w:rPr>
            </w:pPr>
            <w:r>
              <w:rPr>
                <w:b/>
                <w:bCs/>
                <w:color w:val="000000"/>
                <w:szCs w:val="22"/>
              </w:rPr>
              <w:t>射线装置</w:t>
            </w:r>
          </w:p>
        </w:tc>
        <w:tc>
          <w:tcPr>
            <w:tcW w:w="1071" w:type="dxa"/>
            <w:vAlign w:val="center"/>
          </w:tcPr>
          <w:p>
            <w:pPr>
              <w:adjustRightInd w:val="0"/>
              <w:snapToGrid w:val="0"/>
              <w:jc w:val="center"/>
              <w:rPr>
                <w:color w:val="000000"/>
              </w:rPr>
            </w:pPr>
            <w:r>
              <w:rPr>
                <w:color w:val="000000"/>
              </w:rPr>
              <w:sym w:font="Wingdings 2" w:char="00A3"/>
            </w:r>
            <w:r>
              <w:rPr>
                <w:color w:val="000000"/>
              </w:rPr>
              <w:t>生产</w:t>
            </w:r>
          </w:p>
        </w:tc>
        <w:tc>
          <w:tcPr>
            <w:tcW w:w="6216" w:type="dxa"/>
            <w:gridSpan w:val="4"/>
            <w:vAlign w:val="center"/>
          </w:tcPr>
          <w:p>
            <w:pPr>
              <w:adjustRightInd w:val="0"/>
              <w:snapToGrid w:val="0"/>
              <w:jc w:val="center"/>
              <w:rPr>
                <w:color w:val="000000"/>
              </w:rPr>
            </w:pPr>
            <w:r>
              <w:rPr>
                <w:color w:val="000000"/>
              </w:rPr>
              <w:sym w:font="Wingdings 2" w:char="00A3"/>
            </w:r>
            <w:r>
              <w:rPr>
                <w:color w:val="000000"/>
              </w:rPr>
              <w:t xml:space="preserve">Ⅱ类 </w:t>
            </w:r>
            <w:r>
              <w:rPr>
                <w:color w:val="000000"/>
              </w:rPr>
              <w:sym w:font="Wingdings 2" w:char="00A3"/>
            </w:r>
            <w:r>
              <w:rPr>
                <w:color w:val="000000"/>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1" w:type="dxa"/>
            <w:vMerge w:val="continue"/>
            <w:vAlign w:val="center"/>
          </w:tcPr>
          <w:p>
            <w:pPr>
              <w:adjustRightInd w:val="0"/>
              <w:snapToGrid w:val="0"/>
              <w:jc w:val="center"/>
              <w:rPr>
                <w:b/>
                <w:bCs/>
                <w:color w:val="000000"/>
                <w:szCs w:val="22"/>
              </w:rPr>
            </w:pPr>
          </w:p>
        </w:tc>
        <w:tc>
          <w:tcPr>
            <w:tcW w:w="1254" w:type="dxa"/>
            <w:vMerge w:val="continue"/>
            <w:vAlign w:val="center"/>
          </w:tcPr>
          <w:p>
            <w:pPr>
              <w:adjustRightInd w:val="0"/>
              <w:snapToGrid w:val="0"/>
              <w:jc w:val="center"/>
              <w:rPr>
                <w:b/>
                <w:bCs/>
                <w:color w:val="000000"/>
                <w:szCs w:val="22"/>
              </w:rPr>
            </w:pPr>
          </w:p>
        </w:tc>
        <w:tc>
          <w:tcPr>
            <w:tcW w:w="1071" w:type="dxa"/>
            <w:vAlign w:val="center"/>
          </w:tcPr>
          <w:p>
            <w:pPr>
              <w:adjustRightInd w:val="0"/>
              <w:snapToGrid w:val="0"/>
              <w:jc w:val="center"/>
              <w:rPr>
                <w:color w:val="000000"/>
              </w:rPr>
            </w:pPr>
            <w:r>
              <w:rPr>
                <w:color w:val="000000"/>
              </w:rPr>
              <w:sym w:font="Wingdings 2" w:char="00A3"/>
            </w:r>
            <w:r>
              <w:rPr>
                <w:color w:val="000000"/>
              </w:rPr>
              <w:t>销售</w:t>
            </w:r>
          </w:p>
        </w:tc>
        <w:tc>
          <w:tcPr>
            <w:tcW w:w="6216" w:type="dxa"/>
            <w:gridSpan w:val="4"/>
            <w:vAlign w:val="center"/>
          </w:tcPr>
          <w:p>
            <w:pPr>
              <w:adjustRightInd w:val="0"/>
              <w:snapToGrid w:val="0"/>
              <w:jc w:val="center"/>
              <w:rPr>
                <w:color w:val="000000"/>
              </w:rPr>
            </w:pPr>
            <w:r>
              <w:rPr>
                <w:color w:val="000000"/>
              </w:rPr>
              <w:sym w:font="Wingdings 2" w:char="00A3"/>
            </w:r>
            <w:r>
              <w:rPr>
                <w:color w:val="000000"/>
              </w:rPr>
              <w:t xml:space="preserve">Ⅱ类 </w:t>
            </w:r>
            <w:r>
              <w:rPr>
                <w:color w:val="000000"/>
              </w:rPr>
              <w:sym w:font="Wingdings 2" w:char="00A3"/>
            </w:r>
            <w:r>
              <w:rPr>
                <w:color w:val="000000"/>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1" w:type="dxa"/>
            <w:vMerge w:val="continue"/>
            <w:vAlign w:val="center"/>
          </w:tcPr>
          <w:p>
            <w:pPr>
              <w:adjustRightInd w:val="0"/>
              <w:snapToGrid w:val="0"/>
              <w:jc w:val="center"/>
              <w:rPr>
                <w:b/>
                <w:bCs/>
                <w:color w:val="000000"/>
                <w:szCs w:val="22"/>
              </w:rPr>
            </w:pPr>
          </w:p>
        </w:tc>
        <w:tc>
          <w:tcPr>
            <w:tcW w:w="1254" w:type="dxa"/>
            <w:vMerge w:val="continue"/>
            <w:vAlign w:val="center"/>
          </w:tcPr>
          <w:p>
            <w:pPr>
              <w:adjustRightInd w:val="0"/>
              <w:snapToGrid w:val="0"/>
              <w:jc w:val="center"/>
              <w:rPr>
                <w:b/>
                <w:bCs/>
                <w:color w:val="000000"/>
                <w:szCs w:val="22"/>
              </w:rPr>
            </w:pPr>
          </w:p>
        </w:tc>
        <w:tc>
          <w:tcPr>
            <w:tcW w:w="1071" w:type="dxa"/>
            <w:vAlign w:val="center"/>
          </w:tcPr>
          <w:p>
            <w:pPr>
              <w:adjustRightInd w:val="0"/>
              <w:snapToGrid w:val="0"/>
              <w:jc w:val="center"/>
              <w:rPr>
                <w:color w:val="000000"/>
              </w:rPr>
            </w:pPr>
            <w:r>
              <w:rPr>
                <w:color w:val="000000"/>
              </w:rPr>
              <w:sym w:font="Wingdings 2" w:char="0052"/>
            </w:r>
            <w:r>
              <w:rPr>
                <w:color w:val="000000"/>
              </w:rPr>
              <w:t>使用</w:t>
            </w:r>
          </w:p>
        </w:tc>
        <w:tc>
          <w:tcPr>
            <w:tcW w:w="6216" w:type="dxa"/>
            <w:gridSpan w:val="4"/>
            <w:vAlign w:val="center"/>
          </w:tcPr>
          <w:p>
            <w:pPr>
              <w:adjustRightInd w:val="0"/>
              <w:snapToGrid w:val="0"/>
              <w:jc w:val="center"/>
              <w:rPr>
                <w:color w:val="000000"/>
              </w:rPr>
            </w:pPr>
            <w:r>
              <w:rPr>
                <w:color w:val="000000"/>
              </w:rPr>
              <w:sym w:font="Wingdings 2" w:char="0052"/>
            </w:r>
            <w:r>
              <w:rPr>
                <w:color w:val="000000"/>
              </w:rPr>
              <w:t>Ⅱ类</w:t>
            </w:r>
            <w:r>
              <w:t xml:space="preserve"> </w:t>
            </w:r>
            <w:r>
              <w:rPr/>
              <w:sym w:font="Wingdings 2" w:char="00A3"/>
            </w:r>
            <w: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1" w:type="dxa"/>
            <w:vMerge w:val="continue"/>
            <w:vAlign w:val="center"/>
          </w:tcPr>
          <w:p>
            <w:pPr>
              <w:adjustRightInd w:val="0"/>
              <w:snapToGrid w:val="0"/>
              <w:jc w:val="center"/>
              <w:rPr>
                <w:b/>
                <w:bCs/>
                <w:color w:val="000000"/>
                <w:szCs w:val="22"/>
              </w:rPr>
            </w:pPr>
          </w:p>
        </w:tc>
        <w:tc>
          <w:tcPr>
            <w:tcW w:w="1254" w:type="dxa"/>
            <w:vAlign w:val="center"/>
          </w:tcPr>
          <w:p>
            <w:pPr>
              <w:adjustRightInd w:val="0"/>
              <w:snapToGrid w:val="0"/>
              <w:jc w:val="center"/>
              <w:rPr>
                <w:b/>
                <w:bCs/>
                <w:color w:val="000000"/>
                <w:szCs w:val="22"/>
              </w:rPr>
            </w:pPr>
            <w:r>
              <w:rPr>
                <w:b/>
                <w:bCs/>
                <w:color w:val="000000"/>
                <w:szCs w:val="22"/>
              </w:rPr>
              <w:t>其他</w:t>
            </w:r>
          </w:p>
        </w:tc>
        <w:tc>
          <w:tcPr>
            <w:tcW w:w="7287" w:type="dxa"/>
            <w:gridSpan w:val="5"/>
            <w:vAlign w:val="center"/>
          </w:tcPr>
          <w:p>
            <w:pPr>
              <w:adjustRightInd w:val="0"/>
              <w:snapToGrid w:val="0"/>
              <w:jc w:val="center"/>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42" w:type="dxa"/>
            <w:gridSpan w:val="7"/>
            <w:vAlign w:val="center"/>
          </w:tcPr>
          <w:p>
            <w:pPr>
              <w:pStyle w:val="2"/>
              <w:ind w:firstLine="0" w:firstLineChars="0"/>
              <w:rPr>
                <w:rFonts w:eastAsia="宋体"/>
                <w:b/>
                <w:bCs/>
                <w:color w:val="000000"/>
                <w:sz w:val="28"/>
                <w:szCs w:val="28"/>
              </w:rPr>
            </w:pPr>
            <w:r>
              <w:rPr>
                <w:rFonts w:eastAsia="宋体"/>
                <w:b/>
                <w:bCs/>
                <w:color w:val="000000"/>
                <w:sz w:val="28"/>
                <w:szCs w:val="28"/>
              </w:rPr>
              <w:t xml:space="preserve">1. </w:t>
            </w:r>
            <w:r>
              <w:rPr>
                <w:rFonts w:hint="eastAsia" w:eastAsia="宋体"/>
                <w:b/>
                <w:bCs/>
                <w:color w:val="000000"/>
                <w:sz w:val="28"/>
                <w:szCs w:val="28"/>
              </w:rPr>
              <w:t>核技术利用项目情况</w:t>
            </w:r>
          </w:p>
          <w:p>
            <w:pPr>
              <w:adjustRightInd w:val="0"/>
              <w:spacing w:line="360" w:lineRule="auto"/>
              <w:ind w:firstLine="482" w:firstLineChars="200"/>
              <w:rPr>
                <w:b/>
                <w:color w:val="000000"/>
              </w:rPr>
            </w:pPr>
            <w:bookmarkStart w:id="4" w:name="_Toc1308"/>
            <w:r>
              <w:rPr>
                <w:b/>
                <w:color w:val="000000"/>
              </w:rPr>
              <w:t>1.1医院简介</w:t>
            </w:r>
            <w:bookmarkEnd w:id="4"/>
          </w:p>
          <w:p>
            <w:pPr>
              <w:pStyle w:val="2"/>
              <w:ind w:firstLine="480"/>
              <w:rPr>
                <w:rFonts w:eastAsia="宋体"/>
              </w:rPr>
            </w:pPr>
            <w:r>
              <w:rPr>
                <w:rFonts w:hint="eastAsia" w:eastAsia="宋体"/>
              </w:rPr>
              <w:t>通用环球中铁西安医院位于西安市南二环东段319号，发展历史可追溯至1937年，是一所集医疗、科研、教学、预防、保健、康复、急救、养老、社区医疗、职业卫生为一体的综合性二级甲等医院。</w:t>
            </w:r>
          </w:p>
          <w:p>
            <w:pPr>
              <w:pStyle w:val="2"/>
              <w:ind w:firstLine="480"/>
              <w:rPr>
                <w:rFonts w:eastAsia="宋体"/>
              </w:rPr>
            </w:pPr>
            <w:r>
              <w:rPr>
                <w:rFonts w:hint="eastAsia" w:eastAsia="宋体"/>
              </w:rPr>
              <w:t>医院建筑面积2.3万平方米，编制床位285张。现有员工540余人，其中卫生专业技术人员480余人，中高级卫生技术人员180余人，20余名学科带头人及业务骨干在省市级专业学术委员会任职。</w:t>
            </w:r>
          </w:p>
          <w:p>
            <w:pPr>
              <w:pStyle w:val="2"/>
              <w:ind w:firstLine="480"/>
              <w:rPr>
                <w:rFonts w:eastAsia="宋体"/>
              </w:rPr>
            </w:pPr>
            <w:r>
              <w:rPr>
                <w:rFonts w:hint="eastAsia" w:eastAsia="宋体"/>
              </w:rPr>
              <w:t>医院学科建制齐全，设置临床医技科室30余个；医疗设备先进，拥有核磁共振、64排CT、DRX光机、胃镜、肠镜、支气管镜、腹腔镜、宫腔镜、四维彩超、心脏彩超、全自动生化仪等医疗设备680余台，为及时、准确、科学地医疗诊断提供了可靠保障。</w:t>
            </w:r>
          </w:p>
          <w:p>
            <w:pPr>
              <w:pStyle w:val="2"/>
              <w:ind w:firstLine="480"/>
              <w:rPr>
                <w:rFonts w:eastAsia="宋体"/>
              </w:rPr>
            </w:pPr>
            <w:r>
              <w:rPr>
                <w:rFonts w:hint="eastAsia" w:eastAsia="宋体"/>
              </w:rPr>
              <w:t>医院发展特色专科，建立了胸痛、卒中、创伤三大中心及心脏康复中心、心衰中心、房颤中心和高血压达标中心；成功加入陕西省、西安市卒中急救地图医院，成为急性脑卒中医疗救治定点医院；顺利通过中国基层胸痛中心、中国基层版心衰中心、国家级房颤中心（基层版）、国家标准化心脏康复中心认证和陕西省创伤中心专家现场验收认证，消化道出血绿色通道通过了国家基层版认证验收。医院践行“大康复”理念，打造“临床康复一体化”服务模式，实现“康复下临床，服务到床边”的特色医疗服务。</w:t>
            </w:r>
          </w:p>
          <w:p>
            <w:pPr>
              <w:pStyle w:val="2"/>
              <w:ind w:firstLine="480"/>
              <w:rPr>
                <w:rFonts w:eastAsia="宋体"/>
              </w:rPr>
            </w:pPr>
            <w:r>
              <w:rPr>
                <w:rFonts w:hint="eastAsia" w:eastAsia="宋体"/>
              </w:rPr>
              <w:t>医院充分发挥医疗优势，承办了碑林区太乙路社区卫生服务中心、碑林区太乙路第二社区卫生服务中心、碑林区第一爱心护理院、陕西中铁职业卫生技术服务有限公司、西安急救中心中铁一局医院急救站，并与西安市儿童医院共同开设了西安市儿童医院南区，为西京学院非直属附属医院。</w:t>
            </w:r>
          </w:p>
          <w:p>
            <w:pPr>
              <w:adjustRightInd w:val="0"/>
              <w:spacing w:line="360" w:lineRule="auto"/>
              <w:ind w:firstLine="480" w:firstLineChars="200"/>
            </w:pPr>
            <w:r>
              <w:rPr>
                <w:rFonts w:hint="eastAsia"/>
              </w:rPr>
              <w:t>医院秉承“以品质医疗守护生命健康”理念，竭诚为广大群众提供优质、高效、便捷的医疗服务。</w:t>
            </w:r>
          </w:p>
          <w:p>
            <w:pPr>
              <w:adjustRightInd w:val="0"/>
              <w:spacing w:line="360" w:lineRule="auto"/>
              <w:ind w:firstLine="482" w:firstLineChars="200"/>
              <w:rPr>
                <w:b/>
                <w:color w:val="000000"/>
              </w:rPr>
            </w:pPr>
            <w:r>
              <w:rPr>
                <w:b/>
                <w:color w:val="000000"/>
              </w:rPr>
              <w:t xml:space="preserve">1.2 </w:t>
            </w:r>
            <w:r>
              <w:rPr>
                <w:rFonts w:hint="eastAsia"/>
                <w:b/>
                <w:color w:val="000000"/>
              </w:rPr>
              <w:t>项目由来</w:t>
            </w:r>
          </w:p>
          <w:p>
            <w:pPr>
              <w:pStyle w:val="2"/>
              <w:ind w:firstLine="480"/>
            </w:pPr>
            <w:r>
              <w:t>心脑血管疾病已成为严重影响居民健康的一个重要因素，而介入诊断已成为这类疾病的重要治疗手段。为了满足广大患者的诊疗需求</w:t>
            </w:r>
            <w:r>
              <w:rPr>
                <w:rFonts w:hint="eastAsia" w:ascii="宋体" w:hAnsi="宋体" w:eastAsia="宋体" w:cs="宋体"/>
              </w:rPr>
              <w:t>，促进医院各学科发展，提高医院的医疗水平，更好地为患者服务，医院拟对住院部一层部分用房进行改造（住院部为通用环球中铁西安医院与西安市儿童医院共用建筑，住院楼一层为通用环球中铁西安医院使用，住院楼二层为西安市儿童医院使用），建设</w:t>
            </w:r>
            <w:r>
              <w:rPr>
                <w:rFonts w:eastAsia="宋体"/>
              </w:rPr>
              <w:t>DSA</w:t>
            </w:r>
            <w:r>
              <w:rPr>
                <w:rFonts w:hint="eastAsia" w:ascii="宋体" w:hAnsi="宋体" w:eastAsia="宋体" w:cs="宋体"/>
              </w:rPr>
              <w:t>手术室，配套建设操作间、缓冲间、设备间、更衣室等相关辅助用房，并在建设完成后的</w:t>
            </w:r>
            <w:r>
              <w:rPr>
                <w:rFonts w:eastAsia="宋体"/>
              </w:rPr>
              <w:t>DSA</w:t>
            </w:r>
            <w:r>
              <w:rPr>
                <w:rFonts w:hint="eastAsia" w:ascii="宋体" w:hAnsi="宋体" w:eastAsia="宋体" w:cs="宋体"/>
              </w:rPr>
              <w:t>手术室内（原为观察室）新增1台数字减影血管造影机（</w:t>
            </w:r>
            <w:r>
              <w:rPr>
                <w:rFonts w:eastAsia="宋体"/>
              </w:rPr>
              <w:t>DSA</w:t>
            </w:r>
            <w:r>
              <w:rPr>
                <w:rFonts w:hint="eastAsia" w:ascii="宋体" w:hAnsi="宋体" w:eastAsia="宋体" w:cs="宋体"/>
              </w:rPr>
              <w:t>）</w:t>
            </w:r>
            <w:r>
              <w:t>用于介入诊断及辅助治疗</w:t>
            </w:r>
            <w:r>
              <w:rPr>
                <w:rFonts w:hint="eastAsia" w:ascii="宋体" w:hAnsi="宋体" w:eastAsia="宋体" w:cs="宋体"/>
              </w:rPr>
              <w:t>，（住院部目前未使用其它</w:t>
            </w:r>
            <w:r>
              <w:rPr>
                <w:rFonts w:eastAsia="宋体"/>
              </w:rPr>
              <w:t>Ⅱ</w:t>
            </w:r>
            <w:r>
              <w:rPr>
                <w:rFonts w:hint="eastAsia" w:ascii="宋体" w:hAnsi="宋体" w:eastAsia="宋体" w:cs="宋体"/>
              </w:rPr>
              <w:t>类射线装置）。</w:t>
            </w:r>
          </w:p>
          <w:p>
            <w:pPr>
              <w:pStyle w:val="2"/>
              <w:ind w:firstLine="480"/>
            </w:pPr>
            <w:r>
              <w:t>根据《中华人民共和国环境保护法》</w:t>
            </w:r>
            <w:r>
              <w:rPr>
                <w:rFonts w:hint="eastAsia" w:ascii="宋体" w:hAnsi="宋体" w:eastAsia="宋体" w:cs="宋体"/>
              </w:rPr>
              <w:t>、</w:t>
            </w:r>
            <w:r>
              <w:t>《中华人民共和国环境影响评价法》</w:t>
            </w:r>
            <w:r>
              <w:rPr>
                <w:rFonts w:hint="eastAsia" w:ascii="宋体" w:hAnsi="宋体" w:eastAsia="宋体" w:cs="宋体"/>
              </w:rPr>
              <w:t>、</w:t>
            </w:r>
            <w:r>
              <w:t>《中华人民共和国放射性污染防治法》</w:t>
            </w:r>
            <w:r>
              <w:rPr>
                <w:rFonts w:hint="eastAsia" w:ascii="宋体" w:hAnsi="宋体" w:eastAsia="宋体" w:cs="宋体"/>
              </w:rPr>
              <w:t>、</w:t>
            </w:r>
            <w:r>
              <w:t>《</w:t>
            </w:r>
            <w:r>
              <w:rPr>
                <w:lang w:val="zh-CN"/>
              </w:rPr>
              <w:t>放射性同位素与射线装置安全和防护条例</w:t>
            </w:r>
            <w:r>
              <w:t>》（2019年3月2日修订版）及《放射性同位素与射线装置安全许可管理办法》（2021年1月4日修订版）等法律法规的规定，应当组织编制或者填报环境影响评价文件，并依照国家规定程序报生态环境主管部门审批。</w:t>
            </w:r>
          </w:p>
          <w:p>
            <w:pPr>
              <w:pStyle w:val="2"/>
              <w:ind w:firstLine="480"/>
            </w:pPr>
            <w:r>
              <w:t>根据原环境保护部和国家卫生和计划生育委员会《关于发布&lt;射线装置分类&gt;的公告》相关规定</w:t>
            </w:r>
            <w:r>
              <w:rPr>
                <w:rFonts w:hint="eastAsia"/>
              </w:rPr>
              <w:t>，</w:t>
            </w:r>
            <w:r>
              <w:rPr>
                <w:rFonts w:hint="eastAsia" w:ascii="宋体" w:hAnsi="宋体" w:eastAsia="宋体" w:cs="宋体"/>
                <w:color w:val="000000" w:themeColor="text1"/>
                <w14:textFill>
                  <w14:solidFill>
                    <w14:schemeClr w14:val="tx1"/>
                  </w14:solidFill>
                </w14:textFill>
              </w:rPr>
              <w:t>数字减影血管造影机（D</w:t>
            </w:r>
            <w:r>
              <w:rPr>
                <w:rFonts w:ascii="宋体" w:hAnsi="宋体" w:eastAsia="宋体" w:cs="宋体"/>
                <w:color w:val="000000" w:themeColor="text1"/>
                <w14:textFill>
                  <w14:solidFill>
                    <w14:schemeClr w14:val="tx1"/>
                  </w14:solidFill>
                </w14:textFill>
              </w:rPr>
              <w:t>SA</w:t>
            </w:r>
            <w:r>
              <w:rPr>
                <w:rFonts w:hint="eastAsia" w:ascii="宋体" w:hAnsi="宋体" w:eastAsia="宋体" w:cs="宋体"/>
                <w:color w:val="000000" w:themeColor="text1"/>
                <w14:textFill>
                  <w14:solidFill>
                    <w14:schemeClr w14:val="tx1"/>
                  </w14:solidFill>
                </w14:textFill>
              </w:rPr>
              <w:t>）</w:t>
            </w:r>
            <w:r>
              <w:t>属于Ⅱ类射线装置。根据《中华人民共和国环境影响评价法》、《建设项目环境保护管理条例》等相关法律法规，以及《建设项目环境影响评价分类管理名录》（2021年版）</w:t>
            </w:r>
            <w:r>
              <w:rPr>
                <w:lang w:val="zh-CN"/>
              </w:rPr>
              <w:t>中</w:t>
            </w:r>
            <w:r>
              <w:t>“五十五、核与辐射172、核技术利用建设项目”中“……生产、使用Ⅱ类射线装置的……”应编制环境影响报告表。</w:t>
            </w:r>
          </w:p>
          <w:p>
            <w:pPr>
              <w:pStyle w:val="2"/>
              <w:ind w:firstLine="480"/>
            </w:pPr>
            <w:r>
              <w:rPr>
                <w:rFonts w:hint="eastAsia" w:ascii="宋体" w:hAnsi="宋体" w:eastAsia="宋体" w:cs="宋体"/>
              </w:rPr>
              <w:t>通用环球中铁西安医院</w:t>
            </w:r>
            <w:r>
              <w:t>委托</w:t>
            </w:r>
            <w:r>
              <w:rPr>
                <w:rFonts w:hint="eastAsia" w:ascii="Times New Roman" w:hAnsi="Times New Roman" w:eastAsia="Arial" w:cs="Times New Roman"/>
                <w:kern w:val="2"/>
                <w:sz w:val="24"/>
                <w:szCs w:val="24"/>
                <w:lang w:val="en-US" w:eastAsia="zh-CN" w:bidi="ar-SA"/>
              </w:rPr>
              <w:t>陕西经纬科技发展有限责任公司</w:t>
            </w:r>
            <w:r>
              <w:t>承担对该项目的环境影响评价工作。接受委托后，</w:t>
            </w:r>
            <w:r>
              <w:rPr>
                <w:rFonts w:hint="eastAsia" w:ascii="Times New Roman" w:hAnsi="Times New Roman" w:eastAsia="Arial" w:cs="Times New Roman"/>
                <w:kern w:val="2"/>
                <w:sz w:val="24"/>
                <w:szCs w:val="24"/>
                <w:lang w:val="en-US" w:eastAsia="zh-CN" w:bidi="ar-SA"/>
              </w:rPr>
              <w:t>陕西经纬科技发展有限责任公司</w:t>
            </w:r>
            <w:r>
              <w:t>组织技术人员进行了现场勘察，收集、整理有关资料，对项目的建设情况进行了初步分析，并根据项目的应用类型及项目所在地周围区域的环境特征，在现场勘察、资料调研、预测分析的基础上，按照《辐射环境保护管理导则—核技术利用建设项目环境影响评价文件的内容和格式》（HJ10.1-2016）的基本要求，编制了《</w:t>
            </w:r>
            <w:r>
              <w:rPr>
                <w:rFonts w:hint="eastAsia" w:ascii="宋体" w:hAnsi="宋体" w:eastAsia="宋体" w:cs="宋体"/>
              </w:rPr>
              <w:t>通用环球中铁西安医院数字减影血管造影机核技术利用项目环境影响报告表</w:t>
            </w:r>
            <w:r>
              <w:t>》。</w:t>
            </w:r>
          </w:p>
          <w:p>
            <w:pPr>
              <w:adjustRightInd w:val="0"/>
              <w:spacing w:line="360" w:lineRule="auto"/>
              <w:ind w:firstLine="482" w:firstLineChars="200"/>
              <w:rPr>
                <w:b/>
                <w:color w:val="000000"/>
              </w:rPr>
            </w:pPr>
            <w:r>
              <w:rPr>
                <w:b/>
                <w:color w:val="000000"/>
              </w:rPr>
              <w:t xml:space="preserve">1.3 </w:t>
            </w:r>
            <w:r>
              <w:rPr>
                <w:rFonts w:hint="eastAsia"/>
                <w:b/>
                <w:color w:val="000000"/>
              </w:rPr>
              <w:t>编制目的</w:t>
            </w:r>
          </w:p>
          <w:p>
            <w:pPr>
              <w:spacing w:line="360" w:lineRule="auto"/>
              <w:ind w:firstLine="480" w:firstLineChars="200"/>
            </w:pPr>
            <w:r>
              <w:rPr>
                <w:rFonts w:hint="eastAsia"/>
              </w:rPr>
              <w:t>（1）对项目所在地进行监测，明确项目所在地辐射环境质量现状；</w:t>
            </w:r>
          </w:p>
          <w:p>
            <w:pPr>
              <w:spacing w:line="360" w:lineRule="auto"/>
              <w:ind w:firstLine="480" w:firstLineChars="200"/>
            </w:pPr>
            <w:r>
              <w:rPr>
                <w:rFonts w:hint="eastAsia"/>
              </w:rPr>
              <w:t>（2）通过对本项目</w:t>
            </w:r>
            <w:r>
              <w:rPr>
                <w:rFonts w:hint="eastAsia"/>
                <w:color w:val="000000" w:themeColor="text1"/>
                <w14:textFill>
                  <w14:solidFill>
                    <w14:schemeClr w14:val="tx1"/>
                  </w14:solidFill>
                </w14:textFill>
              </w:rPr>
              <w:t>数字减影血管造影机（D</w:t>
            </w:r>
            <w:r>
              <w:rPr>
                <w:color w:val="000000" w:themeColor="text1"/>
                <w14:textFill>
                  <w14:solidFill>
                    <w14:schemeClr w14:val="tx1"/>
                  </w14:solidFill>
                </w14:textFill>
              </w:rPr>
              <w:t>SA</w:t>
            </w:r>
            <w:r>
              <w:rPr>
                <w:rFonts w:hint="eastAsia"/>
                <w:color w:val="000000" w:themeColor="text1"/>
                <w14:textFill>
                  <w14:solidFill>
                    <w14:schemeClr w14:val="tx1"/>
                  </w14:solidFill>
                </w14:textFill>
              </w:rPr>
              <w:t>）</w:t>
            </w:r>
            <w:r>
              <w:rPr>
                <w:rFonts w:hint="eastAsia"/>
              </w:rPr>
              <w:t>运行过程中辐射环境影响进行理论估算，确定其对周边环境的影响范围、影响程度，分析医院该项目采取的辐射防护措施的有效性，并提出合理的意见与建议；</w:t>
            </w:r>
          </w:p>
          <w:p>
            <w:pPr>
              <w:spacing w:line="360" w:lineRule="auto"/>
              <w:ind w:firstLine="480" w:firstLineChars="200"/>
            </w:pPr>
            <w:r>
              <w:rPr>
                <w:rFonts w:hint="eastAsia"/>
              </w:rPr>
              <w:t>（</w:t>
            </w:r>
            <w:r>
              <w:t>3</w:t>
            </w:r>
            <w:r>
              <w:rPr>
                <w:rFonts w:hint="eastAsia"/>
              </w:rPr>
              <w:t>）满足国家和地方生态环境保护部门对该项目环境管理规定的要求，为该项目的辐射环境管理提供科学依据。</w:t>
            </w:r>
          </w:p>
          <w:p>
            <w:pPr>
              <w:spacing w:line="360" w:lineRule="auto"/>
              <w:ind w:firstLine="482" w:firstLineChars="200"/>
              <w:rPr>
                <w:b/>
                <w:bCs/>
              </w:rPr>
            </w:pPr>
            <w:r>
              <w:rPr>
                <w:b/>
                <w:bCs/>
              </w:rPr>
              <w:t xml:space="preserve">1.4 </w:t>
            </w:r>
            <w:r>
              <w:rPr>
                <w:rFonts w:hint="eastAsia"/>
                <w:b/>
                <w:bCs/>
              </w:rPr>
              <w:t>产业政策符合性及</w:t>
            </w:r>
            <w:r>
              <w:rPr>
                <w:b/>
                <w:bCs/>
              </w:rPr>
              <w:t>实践正当性评价</w:t>
            </w:r>
          </w:p>
          <w:p>
            <w:pPr>
              <w:autoSpaceDE w:val="0"/>
              <w:autoSpaceDN w:val="0"/>
              <w:adjustRightInd w:val="0"/>
              <w:spacing w:line="360" w:lineRule="auto"/>
              <w:ind w:firstLine="480" w:firstLineChars="200"/>
              <w:rPr>
                <w:color w:val="000000"/>
                <w:kern w:val="0"/>
              </w:rPr>
            </w:pPr>
            <w:r>
              <w:rPr>
                <w:rFonts w:hint="eastAsia"/>
                <w:color w:val="000000"/>
                <w:kern w:val="0"/>
              </w:rPr>
              <w:t>经对照《产业结构调整指导目录（2019年本）》（2</w:t>
            </w:r>
            <w:r>
              <w:rPr>
                <w:color w:val="000000"/>
                <w:kern w:val="0"/>
              </w:rPr>
              <w:t>021</w:t>
            </w:r>
            <w:r>
              <w:rPr>
                <w:rFonts w:hint="eastAsia"/>
                <w:color w:val="000000"/>
                <w:kern w:val="0"/>
              </w:rPr>
              <w:t>修正），本项目属于鼓励类“三七、卫生健康 第5款医疗卫生服务设施建设”项目，符合国家产业政策。</w:t>
            </w:r>
          </w:p>
          <w:p>
            <w:pPr>
              <w:autoSpaceDE w:val="0"/>
              <w:autoSpaceDN w:val="0"/>
              <w:adjustRightInd w:val="0"/>
              <w:spacing w:line="360" w:lineRule="auto"/>
              <w:ind w:firstLine="480" w:firstLineChars="200"/>
              <w:rPr>
                <w:color w:val="000000"/>
                <w:kern w:val="0"/>
              </w:rPr>
            </w:pPr>
            <w:r>
              <w:rPr>
                <w:rFonts w:hint="eastAsia"/>
                <w:color w:val="000000"/>
                <w:kern w:val="0"/>
              </w:rPr>
              <w:t>数字减影血管造影机（DSA）</w:t>
            </w:r>
            <w:r>
              <w:rPr>
                <w:color w:val="000000"/>
                <w:kern w:val="0"/>
              </w:rPr>
              <w:t>对提高</w:t>
            </w:r>
            <w:r>
              <w:rPr>
                <w:rFonts w:hint="eastAsia"/>
                <w:color w:val="000000"/>
                <w:kern w:val="0"/>
              </w:rPr>
              <w:t>医院</w:t>
            </w:r>
            <w:r>
              <w:rPr>
                <w:color w:val="000000"/>
                <w:kern w:val="0"/>
              </w:rPr>
              <w:t>治疗水平具有重大意义，在保障病人健康的同时也为医院创造了更大的经济效益。</w:t>
            </w:r>
            <w:r>
              <w:rPr>
                <w:rFonts w:hint="eastAsia"/>
                <w:color w:val="000000"/>
                <w:kern w:val="0"/>
              </w:rPr>
              <w:t>且本项目引起的对辐射工作人员和公众外照射剂量可控制在根据最优化原则设置的项目剂量管理目标值以下。因此本项目的开展，在给患者带来利益的同时，对辐射工作人员和公众的外照射引起的年有效剂量低于根据最优化原则设置的项目管理目标值。</w:t>
            </w:r>
            <w:r>
              <w:rPr>
                <w:color w:val="000000"/>
                <w:kern w:val="0"/>
              </w:rPr>
              <w:t>因此</w:t>
            </w:r>
            <w:r>
              <w:rPr>
                <w:rFonts w:hint="eastAsia"/>
                <w:color w:val="000000" w:themeColor="text1"/>
                <w:kern w:val="0"/>
                <w14:textFill>
                  <w14:solidFill>
                    <w14:schemeClr w14:val="tx1"/>
                  </w14:solidFill>
                </w14:textFill>
              </w:rPr>
              <w:t>通用环球中铁西安医院数字减影血管造影机核技术利用项目</w:t>
            </w:r>
            <w:r>
              <w:rPr>
                <w:color w:val="000000"/>
                <w:kern w:val="0"/>
              </w:rPr>
              <w:t>所带来的社会、经济利益远大于可能引起的辐射危害，符合《电离辐射防护与辐射源安全基本标准》（GB18871-2002）和《放射诊断放射防护要求》（GBZ130-2020）中</w:t>
            </w:r>
            <w:r>
              <w:rPr>
                <w:rFonts w:hint="eastAsia"/>
                <w:color w:val="000000"/>
                <w:kern w:val="0"/>
              </w:rPr>
              <w:t>“实践的</w:t>
            </w:r>
            <w:r>
              <w:rPr>
                <w:color w:val="000000"/>
                <w:kern w:val="0"/>
              </w:rPr>
              <w:t>正当性</w:t>
            </w:r>
            <w:r>
              <w:rPr>
                <w:rFonts w:hint="eastAsia"/>
                <w:color w:val="000000"/>
                <w:kern w:val="0"/>
              </w:rPr>
              <w:t>”原则</w:t>
            </w:r>
            <w:r>
              <w:rPr>
                <w:color w:val="000000"/>
                <w:kern w:val="0"/>
              </w:rPr>
              <w:t>。</w:t>
            </w:r>
          </w:p>
          <w:p>
            <w:pPr>
              <w:spacing w:line="360" w:lineRule="auto"/>
              <w:ind w:firstLine="482" w:firstLineChars="200"/>
              <w:rPr>
                <w:b/>
                <w:bCs/>
              </w:rPr>
            </w:pPr>
            <w:r>
              <w:rPr>
                <w:b/>
                <w:bCs/>
              </w:rPr>
              <w:t xml:space="preserve">1.5 </w:t>
            </w:r>
            <w:r>
              <w:rPr>
                <w:rFonts w:hint="eastAsia"/>
                <w:b/>
                <w:bCs/>
              </w:rPr>
              <w:t>医院原有核技术应用项目环保手续履行情况及管理现状</w:t>
            </w:r>
          </w:p>
          <w:p>
            <w:pPr>
              <w:spacing w:line="360" w:lineRule="auto"/>
              <w:ind w:firstLine="482" w:firstLineChars="200"/>
              <w:rPr>
                <w:b/>
                <w:bCs/>
              </w:rPr>
            </w:pPr>
            <w:r>
              <w:rPr>
                <w:b/>
                <w:bCs/>
              </w:rPr>
              <w:t xml:space="preserve">1.5.1 </w:t>
            </w:r>
            <w:r>
              <w:rPr>
                <w:rFonts w:hint="eastAsia"/>
                <w:b/>
                <w:bCs/>
              </w:rPr>
              <w:t>医院原有核技术应用项目环保手续履行情况</w:t>
            </w:r>
          </w:p>
          <w:p>
            <w:pPr>
              <w:adjustRightInd w:val="0"/>
              <w:spacing w:line="360" w:lineRule="auto"/>
              <w:ind w:firstLine="480" w:firstLineChars="200"/>
              <w:rPr>
                <w:color w:val="000000"/>
              </w:rPr>
            </w:pPr>
            <w:r>
              <w:rPr>
                <w:rFonts w:hint="eastAsia"/>
                <w:bCs/>
                <w:color w:val="000000"/>
              </w:rPr>
              <w:t>根据通用环球中铁西安医院提供的资料，医院现有射线装置7台，均为Ⅲ类射线装置，已填报环境影响登记表，医院现持有辐射安全许可证为陕环辐证</w:t>
            </w:r>
            <w:r>
              <w:rPr>
                <w:rFonts w:hint="eastAsia"/>
                <w:color w:val="000000"/>
              </w:rPr>
              <w:t>[</w:t>
            </w:r>
            <w:r>
              <w:rPr>
                <w:color w:val="000000"/>
              </w:rPr>
              <w:t>00103</w:t>
            </w:r>
            <w:r>
              <w:rPr>
                <w:rFonts w:hint="eastAsia"/>
                <w:color w:val="000000"/>
              </w:rPr>
              <w:t>]，许可种类为：使用Ⅲ类射线装置，许可证有效期至2</w:t>
            </w:r>
            <w:r>
              <w:rPr>
                <w:color w:val="000000"/>
              </w:rPr>
              <w:t>025</w:t>
            </w:r>
            <w:r>
              <w:rPr>
                <w:rFonts w:hint="eastAsia"/>
                <w:color w:val="000000"/>
              </w:rPr>
              <w:t>年1</w:t>
            </w:r>
            <w:r>
              <w:rPr>
                <w:color w:val="000000"/>
              </w:rPr>
              <w:t>1</w:t>
            </w:r>
            <w:r>
              <w:rPr>
                <w:rFonts w:hint="eastAsia"/>
                <w:color w:val="000000"/>
              </w:rPr>
              <w:t>月2</w:t>
            </w:r>
            <w:r>
              <w:rPr>
                <w:color w:val="000000"/>
              </w:rPr>
              <w:t>4</w:t>
            </w:r>
            <w:r>
              <w:rPr>
                <w:rFonts w:hint="eastAsia"/>
                <w:color w:val="000000"/>
              </w:rPr>
              <w:t>日。</w:t>
            </w:r>
          </w:p>
          <w:p>
            <w:pPr>
              <w:spacing w:line="360" w:lineRule="auto"/>
              <w:ind w:firstLine="480" w:firstLineChars="200"/>
              <w:rPr>
                <w:color w:val="000000" w:themeColor="text1"/>
                <w:kern w:val="24"/>
                <w14:textFill>
                  <w14:solidFill>
                    <w14:schemeClr w14:val="tx1"/>
                  </w14:solidFill>
                </w14:textFill>
              </w:rPr>
            </w:pPr>
            <w:r>
              <w:rPr>
                <w:rFonts w:hint="eastAsia"/>
                <w:color w:val="000000" w:themeColor="text1"/>
                <w:kern w:val="24"/>
                <w14:textFill>
                  <w14:solidFill>
                    <w14:schemeClr w14:val="tx1"/>
                  </w14:solidFill>
                </w14:textFill>
              </w:rPr>
              <w:t>已</w:t>
            </w:r>
            <w:r>
              <w:rPr>
                <w:color w:val="000000" w:themeColor="text1"/>
                <w:kern w:val="24"/>
                <w14:textFill>
                  <w14:solidFill>
                    <w14:schemeClr w14:val="tx1"/>
                  </w14:solidFill>
                </w14:textFill>
              </w:rPr>
              <w:t>列入“辐射安全许可证”的射线装置</w:t>
            </w:r>
            <w:r>
              <w:rPr>
                <w:rFonts w:hint="eastAsia"/>
                <w:color w:val="000000" w:themeColor="text1"/>
                <w:kern w:val="24"/>
                <w14:textFill>
                  <w14:solidFill>
                    <w14:schemeClr w14:val="tx1"/>
                  </w14:solidFill>
                </w14:textFill>
              </w:rPr>
              <w:t>如下：</w:t>
            </w:r>
          </w:p>
          <w:p>
            <w:pPr>
              <w:spacing w:line="360" w:lineRule="auto"/>
              <w:jc w:val="center"/>
              <w:rPr>
                <w:bCs/>
                <w:color w:val="auto"/>
                <w:highlight w:val="none"/>
              </w:rPr>
            </w:pPr>
            <w:r>
              <w:rPr>
                <w:rFonts w:hint="eastAsia"/>
                <w:color w:val="000000"/>
              </w:rPr>
              <w:t>医院列入辐射安全许可证的Ⅲ类射线装置有：X射线牙片机1台、C</w:t>
            </w:r>
            <w:r>
              <w:rPr>
                <w:color w:val="000000"/>
              </w:rPr>
              <w:t>T</w:t>
            </w:r>
            <w:r>
              <w:rPr>
                <w:rFonts w:hint="eastAsia"/>
                <w:color w:val="000000"/>
              </w:rPr>
              <w:t>机</w:t>
            </w:r>
            <w:r>
              <w:rPr>
                <w:color w:val="000000"/>
              </w:rPr>
              <w:t>1</w:t>
            </w:r>
            <w:r>
              <w:rPr>
                <w:rFonts w:hint="eastAsia"/>
                <w:color w:val="000000"/>
              </w:rPr>
              <w:t>台、X射线拍片机1台、移动X光机1台、X射线胃肠机1台、车载X射线拍片机1台、口腔颌面部锥形束计算机体层摄影设备1台，具体情况见表1</w:t>
            </w:r>
            <w:r>
              <w:rPr>
                <w:color w:val="000000"/>
              </w:rPr>
              <w:t>-1</w:t>
            </w:r>
            <w:r>
              <w:rPr>
                <w:rFonts w:hint="eastAsia"/>
                <w:color w:val="000000"/>
              </w:rPr>
              <w:t>。</w:t>
            </w:r>
            <w:bookmarkStart w:id="5" w:name="_Hlk107242743"/>
            <w:r>
              <w:rPr>
                <w:rFonts w:hint="eastAsia"/>
                <w:b/>
                <w:color w:val="auto"/>
                <w:sz w:val="21"/>
                <w:szCs w:val="21"/>
                <w:highlight w:val="none"/>
              </w:rPr>
              <w:t>表1</w:t>
            </w:r>
            <w:r>
              <w:rPr>
                <w:b/>
                <w:color w:val="auto"/>
                <w:sz w:val="21"/>
                <w:szCs w:val="21"/>
                <w:highlight w:val="none"/>
              </w:rPr>
              <w:t xml:space="preserve">-1  </w:t>
            </w:r>
            <w:r>
              <w:rPr>
                <w:rFonts w:hint="eastAsia"/>
                <w:b/>
                <w:color w:val="auto"/>
                <w:sz w:val="21"/>
                <w:szCs w:val="21"/>
                <w:highlight w:val="none"/>
              </w:rPr>
              <w:t>许可的射线装置统计表</w:t>
            </w:r>
          </w:p>
          <w:tbl>
            <w:tblPr>
              <w:tblStyle w:val="16"/>
              <w:tblW w:w="847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601"/>
              <w:gridCol w:w="1276"/>
              <w:gridCol w:w="803"/>
              <w:gridCol w:w="803"/>
              <w:gridCol w:w="803"/>
              <w:gridCol w:w="732"/>
              <w:gridCol w:w="17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4" w:type="dxa"/>
                  <w:tcBorders>
                    <w:top w:val="single" w:color="auto" w:sz="12" w:space="0"/>
                    <w:bottom w:val="single" w:color="auto" w:sz="12" w:space="0"/>
                  </w:tcBorders>
                  <w:vAlign w:val="center"/>
                </w:tcPr>
                <w:p>
                  <w:pPr>
                    <w:spacing w:line="240" w:lineRule="exact"/>
                    <w:jc w:val="center"/>
                    <w:rPr>
                      <w:color w:val="auto"/>
                      <w:sz w:val="21"/>
                      <w:szCs w:val="21"/>
                      <w:highlight w:val="none"/>
                    </w:rPr>
                  </w:pPr>
                  <w:r>
                    <w:rPr>
                      <w:color w:val="auto"/>
                      <w:sz w:val="21"/>
                      <w:szCs w:val="21"/>
                      <w:highlight w:val="none"/>
                    </w:rPr>
                    <w:t>序号</w:t>
                  </w:r>
                </w:p>
              </w:tc>
              <w:tc>
                <w:tcPr>
                  <w:tcW w:w="1601" w:type="dxa"/>
                  <w:tcBorders>
                    <w:top w:val="single" w:color="auto" w:sz="12" w:space="0"/>
                    <w:bottom w:val="single" w:color="auto" w:sz="12" w:space="0"/>
                  </w:tcBorders>
                  <w:vAlign w:val="center"/>
                </w:tcPr>
                <w:p>
                  <w:pPr>
                    <w:spacing w:line="240" w:lineRule="exact"/>
                    <w:jc w:val="center"/>
                    <w:rPr>
                      <w:color w:val="auto"/>
                      <w:sz w:val="21"/>
                      <w:szCs w:val="21"/>
                      <w:highlight w:val="none"/>
                    </w:rPr>
                  </w:pPr>
                  <w:r>
                    <w:rPr>
                      <w:color w:val="auto"/>
                      <w:sz w:val="21"/>
                      <w:szCs w:val="21"/>
                      <w:highlight w:val="none"/>
                    </w:rPr>
                    <w:t>设备名称</w:t>
                  </w:r>
                </w:p>
              </w:tc>
              <w:tc>
                <w:tcPr>
                  <w:tcW w:w="1276" w:type="dxa"/>
                  <w:tcBorders>
                    <w:top w:val="single" w:color="auto" w:sz="12" w:space="0"/>
                    <w:bottom w:val="single" w:color="auto" w:sz="12" w:space="0"/>
                  </w:tcBorders>
                  <w:vAlign w:val="center"/>
                </w:tcPr>
                <w:p>
                  <w:pPr>
                    <w:spacing w:line="240" w:lineRule="exact"/>
                    <w:jc w:val="center"/>
                    <w:rPr>
                      <w:color w:val="auto"/>
                      <w:sz w:val="21"/>
                      <w:szCs w:val="21"/>
                      <w:highlight w:val="none"/>
                    </w:rPr>
                  </w:pPr>
                  <w:r>
                    <w:rPr>
                      <w:color w:val="auto"/>
                      <w:sz w:val="21"/>
                      <w:szCs w:val="21"/>
                      <w:highlight w:val="none"/>
                    </w:rPr>
                    <w:t>型号</w:t>
                  </w:r>
                </w:p>
              </w:tc>
              <w:tc>
                <w:tcPr>
                  <w:tcW w:w="803" w:type="dxa"/>
                  <w:tcBorders>
                    <w:top w:val="single" w:color="auto" w:sz="12" w:space="0"/>
                    <w:bottom w:val="single" w:color="auto" w:sz="12" w:space="0"/>
                  </w:tcBorders>
                  <w:vAlign w:val="center"/>
                </w:tcPr>
                <w:p>
                  <w:pPr>
                    <w:spacing w:line="240" w:lineRule="exact"/>
                    <w:jc w:val="center"/>
                    <w:rPr>
                      <w:color w:val="auto"/>
                      <w:sz w:val="21"/>
                      <w:szCs w:val="21"/>
                      <w:highlight w:val="none"/>
                    </w:rPr>
                  </w:pPr>
                  <w:r>
                    <w:rPr>
                      <w:rFonts w:hint="eastAsia"/>
                      <w:color w:val="auto"/>
                      <w:sz w:val="21"/>
                      <w:szCs w:val="21"/>
                      <w:highlight w:val="none"/>
                    </w:rPr>
                    <w:t>管电压/</w:t>
                  </w:r>
                  <w:r>
                    <w:rPr>
                      <w:color w:val="auto"/>
                      <w:sz w:val="21"/>
                      <w:szCs w:val="21"/>
                      <w:highlight w:val="none"/>
                    </w:rPr>
                    <w:t>kV</w:t>
                  </w:r>
                </w:p>
              </w:tc>
              <w:tc>
                <w:tcPr>
                  <w:tcW w:w="803" w:type="dxa"/>
                  <w:tcBorders>
                    <w:top w:val="single" w:color="auto" w:sz="12" w:space="0"/>
                    <w:bottom w:val="single" w:color="auto" w:sz="12" w:space="0"/>
                  </w:tcBorders>
                  <w:vAlign w:val="center"/>
                </w:tcPr>
                <w:p>
                  <w:pPr>
                    <w:spacing w:line="240" w:lineRule="exact"/>
                    <w:jc w:val="center"/>
                    <w:rPr>
                      <w:color w:val="auto"/>
                      <w:sz w:val="21"/>
                      <w:szCs w:val="21"/>
                      <w:highlight w:val="none"/>
                    </w:rPr>
                  </w:pPr>
                  <w:r>
                    <w:rPr>
                      <w:rFonts w:hint="eastAsia"/>
                      <w:color w:val="auto"/>
                      <w:sz w:val="21"/>
                      <w:szCs w:val="21"/>
                      <w:highlight w:val="none"/>
                    </w:rPr>
                    <w:t>管电流/</w:t>
                  </w:r>
                  <w:r>
                    <w:rPr>
                      <w:color w:val="auto"/>
                      <w:sz w:val="21"/>
                      <w:szCs w:val="21"/>
                      <w:highlight w:val="none"/>
                    </w:rPr>
                    <w:t>mA</w:t>
                  </w:r>
                </w:p>
              </w:tc>
              <w:tc>
                <w:tcPr>
                  <w:tcW w:w="803" w:type="dxa"/>
                  <w:tcBorders>
                    <w:top w:val="single" w:color="auto" w:sz="12" w:space="0"/>
                    <w:bottom w:val="single" w:color="auto" w:sz="12" w:space="0"/>
                  </w:tcBorders>
                  <w:vAlign w:val="center"/>
                </w:tcPr>
                <w:p>
                  <w:pPr>
                    <w:spacing w:line="240" w:lineRule="exact"/>
                    <w:jc w:val="center"/>
                    <w:rPr>
                      <w:color w:val="auto"/>
                      <w:sz w:val="21"/>
                      <w:szCs w:val="21"/>
                      <w:highlight w:val="none"/>
                    </w:rPr>
                  </w:pPr>
                  <w:r>
                    <w:rPr>
                      <w:rFonts w:hint="eastAsia"/>
                      <w:color w:val="auto"/>
                      <w:sz w:val="21"/>
                      <w:szCs w:val="21"/>
                      <w:highlight w:val="none"/>
                    </w:rPr>
                    <w:t>数量/台</w:t>
                  </w:r>
                </w:p>
              </w:tc>
              <w:tc>
                <w:tcPr>
                  <w:tcW w:w="732" w:type="dxa"/>
                  <w:tcBorders>
                    <w:top w:val="single" w:color="auto" w:sz="12" w:space="0"/>
                    <w:bottom w:val="single" w:color="auto" w:sz="12" w:space="0"/>
                  </w:tcBorders>
                  <w:vAlign w:val="center"/>
                </w:tcPr>
                <w:p>
                  <w:pPr>
                    <w:spacing w:line="240" w:lineRule="exact"/>
                    <w:jc w:val="center"/>
                    <w:rPr>
                      <w:color w:val="auto"/>
                      <w:sz w:val="21"/>
                      <w:szCs w:val="21"/>
                      <w:highlight w:val="none"/>
                    </w:rPr>
                  </w:pPr>
                  <w:r>
                    <w:rPr>
                      <w:color w:val="auto"/>
                      <w:sz w:val="21"/>
                      <w:szCs w:val="21"/>
                      <w:highlight w:val="none"/>
                    </w:rPr>
                    <w:t>装置类型</w:t>
                  </w:r>
                </w:p>
              </w:tc>
              <w:tc>
                <w:tcPr>
                  <w:tcW w:w="1779" w:type="dxa"/>
                  <w:tcBorders>
                    <w:top w:val="single" w:color="auto" w:sz="12" w:space="0"/>
                    <w:bottom w:val="single" w:color="auto" w:sz="12" w:space="0"/>
                    <w:right w:val="nil"/>
                  </w:tcBorders>
                  <w:vAlign w:val="center"/>
                </w:tcPr>
                <w:p>
                  <w:pPr>
                    <w:spacing w:line="240" w:lineRule="exact"/>
                    <w:jc w:val="center"/>
                    <w:rPr>
                      <w:color w:val="auto"/>
                      <w:sz w:val="21"/>
                      <w:szCs w:val="21"/>
                      <w:highlight w:val="none"/>
                    </w:rPr>
                  </w:pPr>
                  <w:r>
                    <w:rPr>
                      <w:rFonts w:hint="eastAsia"/>
                      <w:color w:val="auto"/>
                      <w:sz w:val="21"/>
                      <w:szCs w:val="21"/>
                      <w:highlight w:val="none"/>
                    </w:rPr>
                    <w:t>备案号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674" w:type="dxa"/>
                  <w:tcBorders>
                    <w:top w:val="single" w:color="auto" w:sz="12" w:space="0"/>
                  </w:tcBorders>
                  <w:vAlign w:val="center"/>
                </w:tcPr>
                <w:p>
                  <w:pPr>
                    <w:spacing w:line="240" w:lineRule="exact"/>
                    <w:jc w:val="center"/>
                    <w:rPr>
                      <w:color w:val="auto"/>
                      <w:sz w:val="21"/>
                      <w:szCs w:val="21"/>
                      <w:highlight w:val="none"/>
                    </w:rPr>
                  </w:pPr>
                  <w:r>
                    <w:rPr>
                      <w:color w:val="auto"/>
                      <w:sz w:val="21"/>
                      <w:szCs w:val="21"/>
                      <w:highlight w:val="none"/>
                    </w:rPr>
                    <w:t>1</w:t>
                  </w:r>
                </w:p>
              </w:tc>
              <w:tc>
                <w:tcPr>
                  <w:tcW w:w="160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auto"/>
                      <w:sz w:val="21"/>
                      <w:szCs w:val="21"/>
                      <w:highlight w:val="none"/>
                    </w:rPr>
                  </w:pPr>
                  <w:r>
                    <w:rPr>
                      <w:rFonts w:hint="eastAsia"/>
                      <w:color w:val="auto"/>
                      <w:sz w:val="21"/>
                      <w:szCs w:val="21"/>
                      <w:highlight w:val="none"/>
                    </w:rPr>
                    <w:t>X射线牙片机</w:t>
                  </w:r>
                </w:p>
              </w:tc>
              <w:tc>
                <w:tcPr>
                  <w:tcW w:w="1276" w:type="dxa"/>
                  <w:tcBorders>
                    <w:top w:val="single" w:color="000000" w:sz="4" w:space="0"/>
                    <w:left w:val="nil"/>
                    <w:bottom w:val="single" w:color="000000" w:sz="4" w:space="0"/>
                    <w:right w:val="single" w:color="000000" w:sz="4" w:space="0"/>
                  </w:tcBorders>
                  <w:shd w:val="clear" w:color="auto" w:fill="auto"/>
                  <w:vAlign w:val="center"/>
                </w:tcPr>
                <w:p>
                  <w:pPr>
                    <w:snapToGrid w:val="0"/>
                    <w:spacing w:line="240" w:lineRule="exact"/>
                    <w:jc w:val="center"/>
                    <w:rPr>
                      <w:color w:val="auto"/>
                      <w:sz w:val="21"/>
                      <w:szCs w:val="21"/>
                      <w:highlight w:val="none"/>
                    </w:rPr>
                  </w:pPr>
                  <w:r>
                    <w:rPr>
                      <w:rFonts w:hint="eastAsia"/>
                      <w:color w:val="auto"/>
                      <w:sz w:val="21"/>
                      <w:szCs w:val="21"/>
                      <w:highlight w:val="none"/>
                    </w:rPr>
                    <w:t>H</w:t>
                  </w:r>
                  <w:r>
                    <w:rPr>
                      <w:color w:val="auto"/>
                      <w:sz w:val="21"/>
                      <w:szCs w:val="21"/>
                      <w:highlight w:val="none"/>
                    </w:rPr>
                    <w:t>YQ-G</w:t>
                  </w:r>
                </w:p>
              </w:tc>
              <w:tc>
                <w:tcPr>
                  <w:tcW w:w="803" w:type="dxa"/>
                  <w:tcBorders>
                    <w:top w:val="single" w:color="000000" w:sz="4" w:space="0"/>
                    <w:left w:val="single" w:color="000000" w:sz="4"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6</w:t>
                  </w:r>
                  <w:r>
                    <w:rPr>
                      <w:color w:val="auto"/>
                      <w:sz w:val="21"/>
                      <w:szCs w:val="21"/>
                      <w:highlight w:val="none"/>
                    </w:rPr>
                    <w:t>0</w:t>
                  </w:r>
                </w:p>
              </w:tc>
              <w:tc>
                <w:tcPr>
                  <w:tcW w:w="803" w:type="dxa"/>
                  <w:tcBorders>
                    <w:top w:val="single" w:color="000000" w:sz="4" w:space="0"/>
                    <w:left w:val="single" w:color="000000" w:sz="4"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8</w:t>
                  </w:r>
                </w:p>
              </w:tc>
              <w:tc>
                <w:tcPr>
                  <w:tcW w:w="803" w:type="dxa"/>
                  <w:tcBorders>
                    <w:top w:val="single" w:color="000000" w:sz="4" w:space="0"/>
                    <w:left w:val="single" w:color="000000" w:sz="4"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1</w:t>
                  </w:r>
                </w:p>
              </w:tc>
              <w:tc>
                <w:tcPr>
                  <w:tcW w:w="732" w:type="dxa"/>
                  <w:tcBorders>
                    <w:top w:val="single" w:color="000000" w:sz="4" w:space="0"/>
                    <w:left w:val="single" w:color="000000" w:sz="4" w:space="0"/>
                    <w:right w:val="single" w:color="000000" w:sz="4" w:space="0"/>
                  </w:tcBorders>
                  <w:shd w:val="clear" w:color="auto" w:fill="auto"/>
                  <w:vAlign w:val="center"/>
                </w:tcPr>
                <w:p>
                  <w:pPr>
                    <w:spacing w:line="240" w:lineRule="exact"/>
                    <w:jc w:val="center"/>
                    <w:rPr>
                      <w:color w:val="auto"/>
                      <w:sz w:val="21"/>
                      <w:szCs w:val="21"/>
                      <w:highlight w:val="none"/>
                    </w:rPr>
                  </w:pPr>
                  <w:r>
                    <w:rPr>
                      <w:color w:val="auto"/>
                      <w:sz w:val="21"/>
                      <w:szCs w:val="21"/>
                      <w:highlight w:val="none"/>
                    </w:rPr>
                    <w:t>Ⅲ</w:t>
                  </w:r>
                </w:p>
              </w:tc>
              <w:tc>
                <w:tcPr>
                  <w:tcW w:w="1779" w:type="dxa"/>
                  <w:tcBorders>
                    <w:top w:val="single" w:color="000000" w:sz="4" w:space="0"/>
                    <w:left w:val="single" w:color="000000" w:sz="4" w:space="0"/>
                    <w:right w:val="nil"/>
                  </w:tcBorders>
                  <w:shd w:val="clear" w:color="auto" w:fill="auto"/>
                  <w:vAlign w:val="center"/>
                </w:tcPr>
                <w:p>
                  <w:pPr>
                    <w:tabs>
                      <w:tab w:val="center" w:pos="803"/>
                      <w:tab w:val="right" w:pos="1487"/>
                    </w:tabs>
                    <w:spacing w:line="240" w:lineRule="exact"/>
                    <w:jc w:val="center"/>
                    <w:rPr>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74" w:type="dxa"/>
                  <w:tcBorders>
                    <w:bottom w:val="single" w:color="auto" w:sz="4" w:space="0"/>
                  </w:tcBorders>
                  <w:vAlign w:val="center"/>
                </w:tcPr>
                <w:p>
                  <w:pPr>
                    <w:spacing w:line="240" w:lineRule="exact"/>
                    <w:jc w:val="center"/>
                    <w:rPr>
                      <w:color w:val="auto"/>
                      <w:sz w:val="21"/>
                      <w:szCs w:val="21"/>
                      <w:highlight w:val="none"/>
                    </w:rPr>
                  </w:pPr>
                  <w:r>
                    <w:rPr>
                      <w:color w:val="auto"/>
                      <w:sz w:val="21"/>
                      <w:szCs w:val="21"/>
                      <w:highlight w:val="none"/>
                    </w:rPr>
                    <w:t>2</w:t>
                  </w:r>
                </w:p>
              </w:tc>
              <w:tc>
                <w:tcPr>
                  <w:tcW w:w="1601" w:type="dxa"/>
                  <w:tcBorders>
                    <w:top w:val="nil"/>
                    <w:left w:val="single" w:color="000000" w:sz="4" w:space="0"/>
                    <w:bottom w:val="single" w:color="auto" w:sz="4" w:space="0"/>
                    <w:right w:val="single" w:color="000000" w:sz="4" w:space="0"/>
                  </w:tcBorders>
                  <w:shd w:val="clear" w:color="auto" w:fill="auto"/>
                  <w:vAlign w:val="center"/>
                </w:tcPr>
                <w:p>
                  <w:pPr>
                    <w:spacing w:line="240" w:lineRule="exact"/>
                    <w:jc w:val="center"/>
                    <w:rPr>
                      <w:color w:val="auto"/>
                      <w:sz w:val="21"/>
                      <w:szCs w:val="21"/>
                      <w:highlight w:val="none"/>
                      <w:vertAlign w:val="superscript"/>
                    </w:rPr>
                  </w:pPr>
                  <w:r>
                    <w:rPr>
                      <w:color w:val="auto"/>
                      <w:sz w:val="21"/>
                      <w:szCs w:val="21"/>
                      <w:highlight w:val="none"/>
                    </w:rPr>
                    <w:t>CT</w:t>
                  </w:r>
                  <w:r>
                    <w:rPr>
                      <w:rFonts w:hint="eastAsia"/>
                      <w:color w:val="auto"/>
                      <w:sz w:val="21"/>
                      <w:szCs w:val="21"/>
                      <w:highlight w:val="none"/>
                    </w:rPr>
                    <w:t>机</w:t>
                  </w:r>
                </w:p>
              </w:tc>
              <w:tc>
                <w:tcPr>
                  <w:tcW w:w="1276" w:type="dxa"/>
                  <w:tcBorders>
                    <w:top w:val="nil"/>
                    <w:left w:val="nil"/>
                    <w:bottom w:val="single" w:color="auto" w:sz="4" w:space="0"/>
                    <w:right w:val="single" w:color="000000" w:sz="4" w:space="0"/>
                  </w:tcBorders>
                  <w:shd w:val="clear" w:color="auto" w:fill="auto"/>
                  <w:vAlign w:val="center"/>
                </w:tcPr>
                <w:p>
                  <w:pPr>
                    <w:snapToGrid w:val="0"/>
                    <w:spacing w:line="240" w:lineRule="exact"/>
                    <w:jc w:val="center"/>
                    <w:rPr>
                      <w:color w:val="auto"/>
                      <w:kern w:val="0"/>
                      <w:sz w:val="21"/>
                      <w:szCs w:val="21"/>
                      <w:highlight w:val="none"/>
                    </w:rPr>
                  </w:pPr>
                  <w:r>
                    <w:rPr>
                      <w:rFonts w:hint="eastAsia"/>
                      <w:color w:val="auto"/>
                      <w:kern w:val="0"/>
                      <w:sz w:val="21"/>
                      <w:szCs w:val="21"/>
                      <w:highlight w:val="none"/>
                    </w:rPr>
                    <w:t>O</w:t>
                  </w:r>
                  <w:r>
                    <w:rPr>
                      <w:color w:val="auto"/>
                      <w:kern w:val="0"/>
                      <w:sz w:val="21"/>
                      <w:szCs w:val="21"/>
                      <w:highlight w:val="none"/>
                    </w:rPr>
                    <w:t>ptima CT680 Expert</w:t>
                  </w:r>
                </w:p>
              </w:tc>
              <w:tc>
                <w:tcPr>
                  <w:tcW w:w="803" w:type="dxa"/>
                  <w:tcBorders>
                    <w:left w:val="single" w:color="000000" w:sz="4" w:space="0"/>
                    <w:right w:val="single" w:color="000000" w:sz="4" w:space="0"/>
                  </w:tcBorders>
                  <w:vAlign w:val="center"/>
                </w:tcPr>
                <w:p>
                  <w:pPr>
                    <w:spacing w:line="240" w:lineRule="exact"/>
                    <w:jc w:val="center"/>
                    <w:rPr>
                      <w:color w:val="auto"/>
                      <w:sz w:val="21"/>
                      <w:szCs w:val="21"/>
                      <w:highlight w:val="none"/>
                    </w:rPr>
                  </w:pPr>
                </w:p>
              </w:tc>
              <w:tc>
                <w:tcPr>
                  <w:tcW w:w="803" w:type="dxa"/>
                  <w:tcBorders>
                    <w:left w:val="single" w:color="000000" w:sz="4" w:space="0"/>
                    <w:right w:val="single" w:color="000000" w:sz="4" w:space="0"/>
                  </w:tcBorders>
                  <w:vAlign w:val="center"/>
                </w:tcPr>
                <w:p>
                  <w:pPr>
                    <w:spacing w:line="240" w:lineRule="exact"/>
                    <w:jc w:val="center"/>
                    <w:rPr>
                      <w:color w:val="auto"/>
                      <w:sz w:val="21"/>
                      <w:szCs w:val="21"/>
                      <w:highlight w:val="none"/>
                    </w:rPr>
                  </w:pPr>
                </w:p>
              </w:tc>
              <w:tc>
                <w:tcPr>
                  <w:tcW w:w="803" w:type="dxa"/>
                  <w:tcBorders>
                    <w:left w:val="single" w:color="000000" w:sz="4"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1</w:t>
                  </w:r>
                </w:p>
              </w:tc>
              <w:tc>
                <w:tcPr>
                  <w:tcW w:w="732" w:type="dxa"/>
                  <w:tcBorders>
                    <w:left w:val="single" w:color="000000" w:sz="4" w:space="0"/>
                    <w:right w:val="single" w:color="000000" w:sz="4" w:space="0"/>
                  </w:tcBorders>
                  <w:shd w:val="clear" w:color="auto" w:fill="auto"/>
                  <w:vAlign w:val="center"/>
                </w:tcPr>
                <w:p>
                  <w:pPr>
                    <w:spacing w:line="240" w:lineRule="exact"/>
                    <w:jc w:val="center"/>
                    <w:rPr>
                      <w:color w:val="auto"/>
                      <w:sz w:val="21"/>
                      <w:szCs w:val="21"/>
                      <w:highlight w:val="none"/>
                    </w:rPr>
                  </w:pPr>
                  <w:r>
                    <w:rPr>
                      <w:color w:val="auto"/>
                      <w:sz w:val="21"/>
                      <w:szCs w:val="21"/>
                      <w:highlight w:val="none"/>
                    </w:rPr>
                    <w:t>Ⅲ</w:t>
                  </w:r>
                </w:p>
              </w:tc>
              <w:tc>
                <w:tcPr>
                  <w:tcW w:w="1779" w:type="dxa"/>
                  <w:tcBorders>
                    <w:left w:val="single" w:color="000000" w:sz="4" w:space="0"/>
                    <w:bottom w:val="single" w:color="auto" w:sz="4" w:space="0"/>
                    <w:right w:val="nil"/>
                  </w:tcBorders>
                  <w:shd w:val="clear" w:color="auto" w:fill="auto"/>
                  <w:vAlign w:val="center"/>
                </w:tcPr>
                <w:p>
                  <w:pPr>
                    <w:tabs>
                      <w:tab w:val="center" w:pos="803"/>
                      <w:tab w:val="right" w:pos="1487"/>
                    </w:tabs>
                    <w:spacing w:line="240" w:lineRule="exact"/>
                    <w:jc w:val="center"/>
                    <w:rPr>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74" w:type="dxa"/>
                  <w:tcBorders>
                    <w:top w:val="single" w:color="auto" w:sz="4" w:space="0"/>
                  </w:tcBorders>
                  <w:vAlign w:val="center"/>
                </w:tcPr>
                <w:p>
                  <w:pPr>
                    <w:spacing w:line="240" w:lineRule="exact"/>
                    <w:jc w:val="center"/>
                    <w:rPr>
                      <w:color w:val="auto"/>
                      <w:sz w:val="21"/>
                      <w:szCs w:val="21"/>
                      <w:highlight w:val="none"/>
                    </w:rPr>
                  </w:pPr>
                  <w:r>
                    <w:rPr>
                      <w:color w:val="auto"/>
                      <w:sz w:val="21"/>
                      <w:szCs w:val="21"/>
                      <w:highlight w:val="none"/>
                    </w:rPr>
                    <w:t>3</w:t>
                  </w:r>
                </w:p>
              </w:tc>
              <w:tc>
                <w:tcPr>
                  <w:tcW w:w="1601"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auto"/>
                      <w:sz w:val="21"/>
                      <w:szCs w:val="21"/>
                      <w:highlight w:val="none"/>
                    </w:rPr>
                  </w:pPr>
                  <w:r>
                    <w:rPr>
                      <w:rFonts w:hint="eastAsia"/>
                      <w:color w:val="auto"/>
                      <w:sz w:val="21"/>
                      <w:szCs w:val="21"/>
                      <w:highlight w:val="none"/>
                    </w:rPr>
                    <w:t>X射线拍片机</w:t>
                  </w:r>
                </w:p>
              </w:tc>
              <w:tc>
                <w:tcPr>
                  <w:tcW w:w="1276" w:type="dxa"/>
                  <w:tcBorders>
                    <w:top w:val="single" w:color="auto" w:sz="4" w:space="0"/>
                    <w:left w:val="nil"/>
                    <w:bottom w:val="single" w:color="000000" w:sz="4" w:space="0"/>
                    <w:right w:val="single" w:color="000000" w:sz="4" w:space="0"/>
                  </w:tcBorders>
                  <w:shd w:val="clear" w:color="auto" w:fill="auto"/>
                  <w:vAlign w:val="center"/>
                </w:tcPr>
                <w:p>
                  <w:pPr>
                    <w:snapToGrid w:val="0"/>
                    <w:spacing w:line="240" w:lineRule="exact"/>
                    <w:jc w:val="center"/>
                    <w:rPr>
                      <w:color w:val="auto"/>
                      <w:sz w:val="21"/>
                      <w:szCs w:val="21"/>
                      <w:highlight w:val="none"/>
                    </w:rPr>
                  </w:pPr>
                  <w:r>
                    <w:rPr>
                      <w:rFonts w:hint="eastAsia"/>
                      <w:color w:val="auto"/>
                      <w:sz w:val="21"/>
                      <w:szCs w:val="21"/>
                      <w:highlight w:val="none"/>
                    </w:rPr>
                    <w:t>H</w:t>
                  </w:r>
                  <w:r>
                    <w:rPr>
                      <w:color w:val="auto"/>
                      <w:sz w:val="21"/>
                      <w:szCs w:val="21"/>
                      <w:highlight w:val="none"/>
                    </w:rPr>
                    <w:t>GYX-</w:t>
                  </w:r>
                  <w:r>
                    <w:rPr>
                      <w:rFonts w:hint="eastAsia"/>
                      <w:color w:val="auto"/>
                      <w:sz w:val="21"/>
                      <w:szCs w:val="21"/>
                      <w:highlight w:val="none"/>
                    </w:rPr>
                    <w:t>Ⅲ</w:t>
                  </w:r>
                  <w:r>
                    <w:rPr>
                      <w:color w:val="auto"/>
                      <w:sz w:val="21"/>
                      <w:szCs w:val="21"/>
                      <w:highlight w:val="none"/>
                    </w:rPr>
                    <w:t>-DR</w:t>
                  </w:r>
                </w:p>
              </w:tc>
              <w:tc>
                <w:tcPr>
                  <w:tcW w:w="803" w:type="dxa"/>
                  <w:tcBorders>
                    <w:left w:val="single" w:color="000000" w:sz="4"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1</w:t>
                  </w:r>
                  <w:r>
                    <w:rPr>
                      <w:color w:val="auto"/>
                      <w:sz w:val="21"/>
                      <w:szCs w:val="21"/>
                      <w:highlight w:val="none"/>
                    </w:rPr>
                    <w:t>50</w:t>
                  </w:r>
                </w:p>
              </w:tc>
              <w:tc>
                <w:tcPr>
                  <w:tcW w:w="803" w:type="dxa"/>
                  <w:tcBorders>
                    <w:left w:val="single" w:color="000000" w:sz="4"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6</w:t>
                  </w:r>
                  <w:r>
                    <w:rPr>
                      <w:color w:val="auto"/>
                      <w:sz w:val="21"/>
                      <w:szCs w:val="21"/>
                      <w:highlight w:val="none"/>
                    </w:rPr>
                    <w:t>30</w:t>
                  </w:r>
                </w:p>
              </w:tc>
              <w:tc>
                <w:tcPr>
                  <w:tcW w:w="803" w:type="dxa"/>
                  <w:tcBorders>
                    <w:left w:val="single" w:color="000000" w:sz="4"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1</w:t>
                  </w:r>
                </w:p>
              </w:tc>
              <w:tc>
                <w:tcPr>
                  <w:tcW w:w="732" w:type="dxa"/>
                  <w:tcBorders>
                    <w:left w:val="single" w:color="000000" w:sz="4" w:space="0"/>
                    <w:right w:val="single" w:color="000000" w:sz="4" w:space="0"/>
                  </w:tcBorders>
                  <w:shd w:val="clear" w:color="auto" w:fill="auto"/>
                  <w:vAlign w:val="center"/>
                </w:tcPr>
                <w:p>
                  <w:pPr>
                    <w:spacing w:line="240" w:lineRule="exact"/>
                    <w:jc w:val="center"/>
                    <w:rPr>
                      <w:color w:val="auto"/>
                      <w:sz w:val="21"/>
                      <w:szCs w:val="21"/>
                      <w:highlight w:val="none"/>
                    </w:rPr>
                  </w:pPr>
                  <w:r>
                    <w:rPr>
                      <w:color w:val="auto"/>
                      <w:sz w:val="21"/>
                      <w:szCs w:val="21"/>
                      <w:highlight w:val="none"/>
                    </w:rPr>
                    <w:t>Ⅲ</w:t>
                  </w:r>
                </w:p>
              </w:tc>
              <w:tc>
                <w:tcPr>
                  <w:tcW w:w="1779" w:type="dxa"/>
                  <w:tcBorders>
                    <w:top w:val="single" w:color="auto" w:sz="4" w:space="0"/>
                    <w:left w:val="single" w:color="000000" w:sz="4" w:space="0"/>
                    <w:bottom w:val="single" w:color="000000" w:sz="4" w:space="0"/>
                    <w:right w:val="nil"/>
                  </w:tcBorders>
                  <w:shd w:val="clear" w:color="auto" w:fill="auto"/>
                  <w:vAlign w:val="center"/>
                </w:tcPr>
                <w:p>
                  <w:pPr>
                    <w:spacing w:line="240" w:lineRule="exact"/>
                    <w:jc w:val="center"/>
                    <w:rPr>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674" w:type="dxa"/>
                  <w:vAlign w:val="center"/>
                </w:tcPr>
                <w:p>
                  <w:pPr>
                    <w:spacing w:line="240" w:lineRule="exact"/>
                    <w:jc w:val="center"/>
                    <w:rPr>
                      <w:color w:val="auto"/>
                      <w:sz w:val="21"/>
                      <w:szCs w:val="21"/>
                      <w:highlight w:val="none"/>
                    </w:rPr>
                  </w:pPr>
                  <w:r>
                    <w:rPr>
                      <w:rFonts w:hint="eastAsia"/>
                      <w:color w:val="auto"/>
                      <w:sz w:val="21"/>
                      <w:szCs w:val="21"/>
                      <w:highlight w:val="none"/>
                    </w:rPr>
                    <w:t>4</w:t>
                  </w:r>
                </w:p>
              </w:tc>
              <w:tc>
                <w:tcPr>
                  <w:tcW w:w="160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auto"/>
                      <w:sz w:val="21"/>
                      <w:szCs w:val="21"/>
                      <w:highlight w:val="none"/>
                    </w:rPr>
                  </w:pPr>
                  <w:r>
                    <w:rPr>
                      <w:rFonts w:hint="eastAsia"/>
                      <w:color w:val="auto"/>
                      <w:sz w:val="21"/>
                      <w:szCs w:val="21"/>
                      <w:highlight w:val="none"/>
                    </w:rPr>
                    <w:t>移动X光机</w:t>
                  </w:r>
                </w:p>
              </w:tc>
              <w:tc>
                <w:tcPr>
                  <w:tcW w:w="1276" w:type="dxa"/>
                  <w:tcBorders>
                    <w:top w:val="single" w:color="000000" w:sz="4" w:space="0"/>
                    <w:left w:val="nil"/>
                    <w:bottom w:val="single" w:color="000000" w:sz="4" w:space="0"/>
                    <w:right w:val="single" w:color="000000" w:sz="4" w:space="0"/>
                  </w:tcBorders>
                  <w:shd w:val="clear" w:color="auto" w:fill="auto"/>
                  <w:vAlign w:val="center"/>
                </w:tcPr>
                <w:p>
                  <w:pPr>
                    <w:snapToGrid w:val="0"/>
                    <w:spacing w:line="240" w:lineRule="exact"/>
                    <w:jc w:val="center"/>
                    <w:rPr>
                      <w:color w:val="auto"/>
                      <w:sz w:val="21"/>
                      <w:szCs w:val="21"/>
                      <w:highlight w:val="none"/>
                    </w:rPr>
                  </w:pPr>
                  <w:r>
                    <w:rPr>
                      <w:color w:val="auto"/>
                      <w:sz w:val="21"/>
                      <w:szCs w:val="21"/>
                      <w:highlight w:val="none"/>
                    </w:rPr>
                    <w:t>LPX101X</w:t>
                  </w:r>
                </w:p>
              </w:tc>
              <w:tc>
                <w:tcPr>
                  <w:tcW w:w="803" w:type="dxa"/>
                  <w:tcBorders>
                    <w:left w:val="single" w:color="000000" w:sz="4" w:space="0"/>
                    <w:right w:val="single" w:color="000000" w:sz="4" w:space="0"/>
                  </w:tcBorders>
                  <w:vAlign w:val="center"/>
                </w:tcPr>
                <w:p>
                  <w:pPr>
                    <w:spacing w:line="240" w:lineRule="exact"/>
                    <w:jc w:val="center"/>
                    <w:rPr>
                      <w:color w:val="auto"/>
                      <w:sz w:val="21"/>
                      <w:szCs w:val="21"/>
                      <w:highlight w:val="none"/>
                    </w:rPr>
                  </w:pPr>
                </w:p>
              </w:tc>
              <w:tc>
                <w:tcPr>
                  <w:tcW w:w="803" w:type="dxa"/>
                  <w:tcBorders>
                    <w:left w:val="single" w:color="000000" w:sz="4" w:space="0"/>
                    <w:right w:val="single" w:color="000000" w:sz="4" w:space="0"/>
                  </w:tcBorders>
                  <w:vAlign w:val="center"/>
                </w:tcPr>
                <w:p>
                  <w:pPr>
                    <w:spacing w:line="240" w:lineRule="exact"/>
                    <w:jc w:val="center"/>
                    <w:rPr>
                      <w:color w:val="auto"/>
                      <w:sz w:val="21"/>
                      <w:szCs w:val="21"/>
                      <w:highlight w:val="none"/>
                    </w:rPr>
                  </w:pPr>
                </w:p>
              </w:tc>
              <w:tc>
                <w:tcPr>
                  <w:tcW w:w="803" w:type="dxa"/>
                  <w:tcBorders>
                    <w:left w:val="single" w:color="000000" w:sz="4"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1</w:t>
                  </w:r>
                </w:p>
              </w:tc>
              <w:tc>
                <w:tcPr>
                  <w:tcW w:w="732" w:type="dxa"/>
                  <w:tcBorders>
                    <w:left w:val="single" w:color="000000" w:sz="4" w:space="0"/>
                    <w:right w:val="single" w:color="000000" w:sz="4" w:space="0"/>
                  </w:tcBorders>
                  <w:shd w:val="clear" w:color="auto" w:fill="auto"/>
                  <w:vAlign w:val="center"/>
                </w:tcPr>
                <w:p>
                  <w:pPr>
                    <w:spacing w:line="240" w:lineRule="exact"/>
                    <w:jc w:val="center"/>
                    <w:rPr>
                      <w:color w:val="auto"/>
                      <w:sz w:val="21"/>
                      <w:szCs w:val="21"/>
                      <w:highlight w:val="none"/>
                    </w:rPr>
                  </w:pPr>
                  <w:r>
                    <w:rPr>
                      <w:color w:val="auto"/>
                      <w:sz w:val="21"/>
                      <w:szCs w:val="21"/>
                      <w:highlight w:val="none"/>
                    </w:rPr>
                    <w:t>Ⅲ</w:t>
                  </w:r>
                </w:p>
              </w:tc>
              <w:tc>
                <w:tcPr>
                  <w:tcW w:w="1779" w:type="dxa"/>
                  <w:tcBorders>
                    <w:top w:val="nil"/>
                    <w:left w:val="single" w:color="000000" w:sz="4" w:space="0"/>
                    <w:right w:val="nil"/>
                  </w:tcBorders>
                  <w:shd w:val="clear" w:color="auto" w:fill="auto"/>
                  <w:vAlign w:val="center"/>
                </w:tcPr>
                <w:p>
                  <w:pPr>
                    <w:spacing w:line="240" w:lineRule="exact"/>
                    <w:jc w:val="center"/>
                    <w:rPr>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674" w:type="dxa"/>
                  <w:vAlign w:val="center"/>
                </w:tcPr>
                <w:p>
                  <w:pPr>
                    <w:spacing w:line="240" w:lineRule="exact"/>
                    <w:jc w:val="center"/>
                    <w:rPr>
                      <w:color w:val="auto"/>
                      <w:sz w:val="21"/>
                      <w:szCs w:val="21"/>
                      <w:highlight w:val="none"/>
                    </w:rPr>
                  </w:pPr>
                  <w:r>
                    <w:rPr>
                      <w:rFonts w:hint="eastAsia"/>
                      <w:color w:val="auto"/>
                      <w:sz w:val="21"/>
                      <w:szCs w:val="21"/>
                      <w:highlight w:val="none"/>
                    </w:rPr>
                    <w:t>5</w:t>
                  </w:r>
                </w:p>
              </w:tc>
              <w:tc>
                <w:tcPr>
                  <w:tcW w:w="160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auto"/>
                      <w:sz w:val="21"/>
                      <w:szCs w:val="21"/>
                      <w:highlight w:val="none"/>
                    </w:rPr>
                  </w:pPr>
                  <w:r>
                    <w:rPr>
                      <w:rFonts w:hint="eastAsia"/>
                      <w:color w:val="auto"/>
                      <w:sz w:val="21"/>
                      <w:szCs w:val="21"/>
                      <w:highlight w:val="none"/>
                    </w:rPr>
                    <w:t>X射线胃肠机</w:t>
                  </w:r>
                </w:p>
              </w:tc>
              <w:tc>
                <w:tcPr>
                  <w:tcW w:w="1276" w:type="dxa"/>
                  <w:tcBorders>
                    <w:top w:val="single" w:color="000000" w:sz="4" w:space="0"/>
                    <w:left w:val="nil"/>
                    <w:bottom w:val="single" w:color="000000" w:sz="4" w:space="0"/>
                    <w:right w:val="single" w:color="000000" w:sz="4" w:space="0"/>
                  </w:tcBorders>
                  <w:shd w:val="clear" w:color="auto" w:fill="auto"/>
                  <w:vAlign w:val="center"/>
                </w:tcPr>
                <w:p>
                  <w:pPr>
                    <w:snapToGrid w:val="0"/>
                    <w:spacing w:line="240" w:lineRule="exact"/>
                    <w:jc w:val="center"/>
                    <w:rPr>
                      <w:color w:val="auto"/>
                      <w:sz w:val="21"/>
                      <w:szCs w:val="21"/>
                      <w:highlight w:val="none"/>
                    </w:rPr>
                  </w:pPr>
                  <w:r>
                    <w:rPr>
                      <w:rFonts w:hint="eastAsia"/>
                      <w:color w:val="auto"/>
                      <w:sz w:val="21"/>
                      <w:szCs w:val="21"/>
                      <w:highlight w:val="none"/>
                    </w:rPr>
                    <w:t>P</w:t>
                  </w:r>
                  <w:r>
                    <w:rPr>
                      <w:color w:val="auto"/>
                      <w:sz w:val="21"/>
                      <w:szCs w:val="21"/>
                      <w:highlight w:val="none"/>
                    </w:rPr>
                    <w:t>LD9200</w:t>
                  </w:r>
                </w:p>
              </w:tc>
              <w:tc>
                <w:tcPr>
                  <w:tcW w:w="803" w:type="dxa"/>
                  <w:tcBorders>
                    <w:left w:val="single" w:color="000000" w:sz="4"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1</w:t>
                  </w:r>
                  <w:r>
                    <w:rPr>
                      <w:color w:val="auto"/>
                      <w:sz w:val="21"/>
                      <w:szCs w:val="21"/>
                      <w:highlight w:val="none"/>
                    </w:rPr>
                    <w:t>50</w:t>
                  </w:r>
                </w:p>
              </w:tc>
              <w:tc>
                <w:tcPr>
                  <w:tcW w:w="803" w:type="dxa"/>
                  <w:tcBorders>
                    <w:left w:val="single" w:color="000000" w:sz="4"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1</w:t>
                  </w:r>
                  <w:r>
                    <w:rPr>
                      <w:color w:val="auto"/>
                      <w:sz w:val="21"/>
                      <w:szCs w:val="21"/>
                      <w:highlight w:val="none"/>
                    </w:rPr>
                    <w:t>000</w:t>
                  </w:r>
                </w:p>
              </w:tc>
              <w:tc>
                <w:tcPr>
                  <w:tcW w:w="803" w:type="dxa"/>
                  <w:tcBorders>
                    <w:left w:val="single" w:color="000000" w:sz="4"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1</w:t>
                  </w:r>
                </w:p>
              </w:tc>
              <w:tc>
                <w:tcPr>
                  <w:tcW w:w="732" w:type="dxa"/>
                  <w:tcBorders>
                    <w:left w:val="single" w:color="000000" w:sz="4" w:space="0"/>
                    <w:right w:val="single" w:color="000000" w:sz="4" w:space="0"/>
                  </w:tcBorders>
                  <w:shd w:val="clear" w:color="auto" w:fill="auto"/>
                  <w:vAlign w:val="center"/>
                </w:tcPr>
                <w:p>
                  <w:pPr>
                    <w:spacing w:line="240" w:lineRule="exact"/>
                    <w:jc w:val="center"/>
                    <w:rPr>
                      <w:color w:val="auto"/>
                      <w:sz w:val="21"/>
                      <w:szCs w:val="21"/>
                      <w:highlight w:val="none"/>
                    </w:rPr>
                  </w:pPr>
                  <w:r>
                    <w:rPr>
                      <w:color w:val="auto"/>
                      <w:sz w:val="21"/>
                      <w:szCs w:val="21"/>
                      <w:highlight w:val="none"/>
                    </w:rPr>
                    <w:t>Ⅲ</w:t>
                  </w:r>
                </w:p>
              </w:tc>
              <w:tc>
                <w:tcPr>
                  <w:tcW w:w="1779" w:type="dxa"/>
                  <w:tcBorders>
                    <w:left w:val="single" w:color="000000" w:sz="4" w:space="0"/>
                    <w:right w:val="nil"/>
                  </w:tcBorders>
                  <w:shd w:val="clear" w:color="auto" w:fill="auto"/>
                  <w:vAlign w:val="center"/>
                </w:tcPr>
                <w:p>
                  <w:pPr>
                    <w:spacing w:line="240" w:lineRule="exact"/>
                    <w:jc w:val="center"/>
                    <w:rPr>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674" w:type="dxa"/>
                  <w:vAlign w:val="center"/>
                </w:tcPr>
                <w:p>
                  <w:pPr>
                    <w:spacing w:line="240" w:lineRule="exact"/>
                    <w:jc w:val="center"/>
                    <w:rPr>
                      <w:color w:val="auto"/>
                      <w:sz w:val="21"/>
                      <w:szCs w:val="21"/>
                      <w:highlight w:val="none"/>
                    </w:rPr>
                  </w:pPr>
                  <w:r>
                    <w:rPr>
                      <w:rFonts w:hint="eastAsia"/>
                      <w:color w:val="auto"/>
                      <w:sz w:val="21"/>
                      <w:szCs w:val="21"/>
                      <w:highlight w:val="none"/>
                    </w:rPr>
                    <w:t>6</w:t>
                  </w:r>
                </w:p>
              </w:tc>
              <w:tc>
                <w:tcPr>
                  <w:tcW w:w="160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auto"/>
                      <w:sz w:val="21"/>
                      <w:szCs w:val="21"/>
                      <w:highlight w:val="none"/>
                    </w:rPr>
                  </w:pPr>
                  <w:r>
                    <w:rPr>
                      <w:rFonts w:hint="eastAsia"/>
                      <w:color w:val="auto"/>
                      <w:sz w:val="21"/>
                      <w:szCs w:val="21"/>
                      <w:highlight w:val="none"/>
                    </w:rPr>
                    <w:t>车载X射线拍片机</w:t>
                  </w:r>
                </w:p>
              </w:tc>
              <w:tc>
                <w:tcPr>
                  <w:tcW w:w="1276" w:type="dxa"/>
                  <w:tcBorders>
                    <w:top w:val="single" w:color="000000" w:sz="4" w:space="0"/>
                    <w:left w:val="nil"/>
                    <w:bottom w:val="single" w:color="000000" w:sz="4" w:space="0"/>
                    <w:right w:val="single" w:color="000000" w:sz="4" w:space="0"/>
                  </w:tcBorders>
                  <w:shd w:val="clear" w:color="auto" w:fill="auto"/>
                  <w:vAlign w:val="center"/>
                </w:tcPr>
                <w:p>
                  <w:pPr>
                    <w:snapToGrid w:val="0"/>
                    <w:spacing w:line="240" w:lineRule="exact"/>
                    <w:jc w:val="center"/>
                    <w:rPr>
                      <w:color w:val="auto"/>
                      <w:sz w:val="21"/>
                      <w:szCs w:val="21"/>
                      <w:highlight w:val="none"/>
                    </w:rPr>
                  </w:pPr>
                  <w:r>
                    <w:rPr>
                      <w:rFonts w:hint="eastAsia"/>
                      <w:color w:val="auto"/>
                      <w:sz w:val="21"/>
                      <w:szCs w:val="21"/>
                      <w:highlight w:val="none"/>
                    </w:rPr>
                    <w:t>D</w:t>
                  </w:r>
                  <w:r>
                    <w:rPr>
                      <w:color w:val="auto"/>
                      <w:sz w:val="21"/>
                      <w:szCs w:val="21"/>
                      <w:highlight w:val="none"/>
                    </w:rPr>
                    <w:t>R1000</w:t>
                  </w:r>
                </w:p>
              </w:tc>
              <w:tc>
                <w:tcPr>
                  <w:tcW w:w="803" w:type="dxa"/>
                  <w:tcBorders>
                    <w:left w:val="single" w:color="000000" w:sz="4"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1</w:t>
                  </w:r>
                  <w:r>
                    <w:rPr>
                      <w:color w:val="auto"/>
                      <w:sz w:val="21"/>
                      <w:szCs w:val="21"/>
                      <w:highlight w:val="none"/>
                    </w:rPr>
                    <w:t>50</w:t>
                  </w:r>
                </w:p>
              </w:tc>
              <w:tc>
                <w:tcPr>
                  <w:tcW w:w="803" w:type="dxa"/>
                  <w:tcBorders>
                    <w:left w:val="single" w:color="000000" w:sz="4"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6</w:t>
                  </w:r>
                  <w:r>
                    <w:rPr>
                      <w:color w:val="auto"/>
                      <w:sz w:val="21"/>
                      <w:szCs w:val="21"/>
                      <w:highlight w:val="none"/>
                    </w:rPr>
                    <w:t>30</w:t>
                  </w:r>
                </w:p>
              </w:tc>
              <w:tc>
                <w:tcPr>
                  <w:tcW w:w="803" w:type="dxa"/>
                  <w:tcBorders>
                    <w:left w:val="single" w:color="000000" w:sz="4"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1</w:t>
                  </w:r>
                </w:p>
              </w:tc>
              <w:tc>
                <w:tcPr>
                  <w:tcW w:w="732" w:type="dxa"/>
                  <w:tcBorders>
                    <w:left w:val="single" w:color="000000" w:sz="4" w:space="0"/>
                    <w:right w:val="single" w:color="000000" w:sz="4" w:space="0"/>
                  </w:tcBorders>
                  <w:shd w:val="clear" w:color="auto" w:fill="auto"/>
                  <w:vAlign w:val="center"/>
                </w:tcPr>
                <w:p>
                  <w:pPr>
                    <w:spacing w:line="240" w:lineRule="exact"/>
                    <w:jc w:val="center"/>
                    <w:rPr>
                      <w:color w:val="auto"/>
                      <w:sz w:val="21"/>
                      <w:szCs w:val="21"/>
                      <w:highlight w:val="none"/>
                    </w:rPr>
                  </w:pPr>
                  <w:r>
                    <w:rPr>
                      <w:color w:val="auto"/>
                      <w:sz w:val="21"/>
                      <w:szCs w:val="21"/>
                      <w:highlight w:val="none"/>
                    </w:rPr>
                    <w:t>Ⅲ</w:t>
                  </w:r>
                </w:p>
              </w:tc>
              <w:tc>
                <w:tcPr>
                  <w:tcW w:w="1779" w:type="dxa"/>
                  <w:tcBorders>
                    <w:left w:val="single" w:color="000000" w:sz="4" w:space="0"/>
                    <w:right w:val="nil"/>
                  </w:tcBorders>
                  <w:shd w:val="clear" w:color="auto" w:fill="auto"/>
                  <w:vAlign w:val="center"/>
                </w:tcPr>
                <w:p>
                  <w:pPr>
                    <w:spacing w:line="240" w:lineRule="exact"/>
                    <w:jc w:val="center"/>
                    <w:rPr>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674" w:type="dxa"/>
                  <w:tcBorders>
                    <w:bottom w:val="single" w:color="auto" w:sz="12" w:space="0"/>
                  </w:tcBorders>
                  <w:vAlign w:val="center"/>
                </w:tcPr>
                <w:p>
                  <w:pPr>
                    <w:spacing w:line="240" w:lineRule="exact"/>
                    <w:jc w:val="center"/>
                    <w:rPr>
                      <w:color w:val="auto"/>
                      <w:sz w:val="21"/>
                      <w:szCs w:val="21"/>
                      <w:highlight w:val="none"/>
                    </w:rPr>
                  </w:pPr>
                  <w:r>
                    <w:rPr>
                      <w:rFonts w:hint="eastAsia"/>
                      <w:color w:val="auto"/>
                      <w:sz w:val="21"/>
                      <w:szCs w:val="21"/>
                      <w:highlight w:val="none"/>
                    </w:rPr>
                    <w:t>7</w:t>
                  </w:r>
                </w:p>
              </w:tc>
              <w:tc>
                <w:tcPr>
                  <w:tcW w:w="1601" w:type="dxa"/>
                  <w:tcBorders>
                    <w:top w:val="single" w:color="000000" w:sz="4" w:space="0"/>
                    <w:left w:val="single" w:color="000000" w:sz="4" w:space="0"/>
                    <w:bottom w:val="single" w:color="auto" w:sz="12" w:space="0"/>
                    <w:right w:val="single" w:color="000000" w:sz="4" w:space="0"/>
                  </w:tcBorders>
                  <w:shd w:val="clear" w:color="auto" w:fill="auto"/>
                  <w:vAlign w:val="center"/>
                </w:tcPr>
                <w:p>
                  <w:pPr>
                    <w:spacing w:line="240" w:lineRule="exact"/>
                    <w:jc w:val="center"/>
                    <w:rPr>
                      <w:color w:val="auto"/>
                      <w:sz w:val="21"/>
                      <w:szCs w:val="21"/>
                      <w:highlight w:val="none"/>
                    </w:rPr>
                  </w:pPr>
                  <w:r>
                    <w:rPr>
                      <w:rFonts w:hint="eastAsia"/>
                      <w:color w:val="auto"/>
                      <w:sz w:val="21"/>
                      <w:szCs w:val="21"/>
                      <w:highlight w:val="none"/>
                    </w:rPr>
                    <w:t>口腔颌面部锥形束计算机体层摄影设备</w:t>
                  </w:r>
                </w:p>
              </w:tc>
              <w:tc>
                <w:tcPr>
                  <w:tcW w:w="1276" w:type="dxa"/>
                  <w:tcBorders>
                    <w:top w:val="single" w:color="000000" w:sz="4" w:space="0"/>
                    <w:left w:val="nil"/>
                    <w:bottom w:val="single" w:color="auto" w:sz="12" w:space="0"/>
                    <w:right w:val="single" w:color="000000" w:sz="4" w:space="0"/>
                  </w:tcBorders>
                  <w:shd w:val="clear" w:color="auto" w:fill="auto"/>
                  <w:vAlign w:val="center"/>
                </w:tcPr>
                <w:p>
                  <w:pPr>
                    <w:snapToGrid w:val="0"/>
                    <w:spacing w:line="240" w:lineRule="exact"/>
                    <w:jc w:val="center"/>
                    <w:rPr>
                      <w:color w:val="auto"/>
                      <w:sz w:val="21"/>
                      <w:szCs w:val="21"/>
                      <w:highlight w:val="none"/>
                    </w:rPr>
                  </w:pPr>
                  <w:r>
                    <w:rPr>
                      <w:color w:val="auto"/>
                      <w:sz w:val="21"/>
                      <w:szCs w:val="21"/>
                      <w:highlight w:val="none"/>
                    </w:rPr>
                    <w:t>X-TREND</w:t>
                  </w:r>
                </w:p>
              </w:tc>
              <w:tc>
                <w:tcPr>
                  <w:tcW w:w="803" w:type="dxa"/>
                  <w:tcBorders>
                    <w:left w:val="single" w:color="000000" w:sz="4" w:space="0"/>
                    <w:bottom w:val="single" w:color="auto" w:sz="12"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9</w:t>
                  </w:r>
                  <w:r>
                    <w:rPr>
                      <w:color w:val="auto"/>
                      <w:sz w:val="21"/>
                      <w:szCs w:val="21"/>
                      <w:highlight w:val="none"/>
                    </w:rPr>
                    <w:t>0</w:t>
                  </w:r>
                </w:p>
              </w:tc>
              <w:tc>
                <w:tcPr>
                  <w:tcW w:w="803" w:type="dxa"/>
                  <w:tcBorders>
                    <w:left w:val="single" w:color="000000" w:sz="4" w:space="0"/>
                    <w:bottom w:val="single" w:color="auto" w:sz="12"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1</w:t>
                  </w:r>
                  <w:r>
                    <w:rPr>
                      <w:color w:val="auto"/>
                      <w:sz w:val="21"/>
                      <w:szCs w:val="21"/>
                      <w:highlight w:val="none"/>
                    </w:rPr>
                    <w:t>0</w:t>
                  </w:r>
                </w:p>
              </w:tc>
              <w:tc>
                <w:tcPr>
                  <w:tcW w:w="803" w:type="dxa"/>
                  <w:tcBorders>
                    <w:left w:val="single" w:color="000000" w:sz="4" w:space="0"/>
                    <w:bottom w:val="single" w:color="auto" w:sz="12" w:space="0"/>
                    <w:right w:val="single" w:color="000000" w:sz="4" w:space="0"/>
                  </w:tcBorders>
                  <w:vAlign w:val="center"/>
                </w:tcPr>
                <w:p>
                  <w:pPr>
                    <w:spacing w:line="240" w:lineRule="exact"/>
                    <w:jc w:val="center"/>
                    <w:rPr>
                      <w:color w:val="auto"/>
                      <w:sz w:val="21"/>
                      <w:szCs w:val="21"/>
                      <w:highlight w:val="none"/>
                    </w:rPr>
                  </w:pPr>
                  <w:r>
                    <w:rPr>
                      <w:rFonts w:hint="eastAsia"/>
                      <w:color w:val="auto"/>
                      <w:sz w:val="21"/>
                      <w:szCs w:val="21"/>
                      <w:highlight w:val="none"/>
                    </w:rPr>
                    <w:t>1</w:t>
                  </w:r>
                </w:p>
              </w:tc>
              <w:tc>
                <w:tcPr>
                  <w:tcW w:w="732" w:type="dxa"/>
                  <w:tcBorders>
                    <w:left w:val="single" w:color="000000" w:sz="4" w:space="0"/>
                    <w:bottom w:val="single" w:color="auto" w:sz="12" w:space="0"/>
                    <w:right w:val="single" w:color="000000" w:sz="4" w:space="0"/>
                  </w:tcBorders>
                  <w:shd w:val="clear" w:color="auto" w:fill="auto"/>
                  <w:vAlign w:val="center"/>
                </w:tcPr>
                <w:p>
                  <w:pPr>
                    <w:spacing w:line="240" w:lineRule="exact"/>
                    <w:jc w:val="center"/>
                    <w:rPr>
                      <w:color w:val="auto"/>
                      <w:sz w:val="21"/>
                      <w:szCs w:val="21"/>
                      <w:highlight w:val="none"/>
                    </w:rPr>
                  </w:pPr>
                  <w:r>
                    <w:rPr>
                      <w:color w:val="auto"/>
                      <w:sz w:val="21"/>
                      <w:szCs w:val="21"/>
                      <w:highlight w:val="none"/>
                    </w:rPr>
                    <w:t>Ⅲ</w:t>
                  </w:r>
                </w:p>
              </w:tc>
              <w:tc>
                <w:tcPr>
                  <w:tcW w:w="1779" w:type="dxa"/>
                  <w:tcBorders>
                    <w:left w:val="single" w:color="000000" w:sz="4" w:space="0"/>
                    <w:bottom w:val="single" w:color="auto" w:sz="12" w:space="0"/>
                    <w:right w:val="nil"/>
                  </w:tcBorders>
                  <w:shd w:val="clear" w:color="auto" w:fill="auto"/>
                  <w:vAlign w:val="center"/>
                </w:tcPr>
                <w:p>
                  <w:pPr>
                    <w:spacing w:line="240" w:lineRule="exact"/>
                    <w:jc w:val="center"/>
                    <w:rPr>
                      <w:color w:val="auto"/>
                      <w:sz w:val="21"/>
                      <w:szCs w:val="21"/>
                      <w:highlight w:val="none"/>
                    </w:rPr>
                  </w:pPr>
                </w:p>
              </w:tc>
            </w:tr>
            <w:bookmarkEnd w:id="5"/>
          </w:tbl>
          <w:p>
            <w:pPr>
              <w:adjustRightInd w:val="0"/>
              <w:spacing w:line="360" w:lineRule="auto"/>
              <w:ind w:firstLine="480" w:firstLineChars="200"/>
              <w:rPr>
                <w:color w:val="FF0000"/>
              </w:rPr>
            </w:pPr>
          </w:p>
          <w:p>
            <w:pPr>
              <w:spacing w:line="360" w:lineRule="auto"/>
              <w:ind w:firstLine="482" w:firstLineChars="200"/>
              <w:rPr>
                <w:b/>
                <w:bCs/>
              </w:rPr>
            </w:pPr>
            <w:r>
              <w:rPr>
                <w:b/>
                <w:bCs/>
              </w:rPr>
              <w:t xml:space="preserve">1.5.2 </w:t>
            </w:r>
            <w:r>
              <w:rPr>
                <w:rFonts w:hint="eastAsia"/>
                <w:b/>
                <w:bCs/>
              </w:rPr>
              <w:t>辐射安全管理现状</w:t>
            </w:r>
          </w:p>
          <w:p>
            <w:pPr>
              <w:adjustRightInd w:val="0"/>
              <w:spacing w:line="360" w:lineRule="auto"/>
              <w:ind w:firstLine="480" w:firstLineChars="200"/>
            </w:pPr>
            <w:r>
              <w:rPr>
                <w:color w:val="000000"/>
                <w:kern w:val="0"/>
              </w:rPr>
              <w:t>医院严格遵守《中华人民共和国放射性污染防治法》《放射性同位素与射线装置安全和防护条例》及《陕西省放射性污染防治条例》等相关法律法规要求，配合各级生态环境主管部门监督和指导，辐射防护设施运行、维护、检测工作良好，在辐射安全和防护制度建立、落实以及档案管理等方面运行良好。</w:t>
            </w:r>
          </w:p>
          <w:p>
            <w:pPr>
              <w:adjustRightInd w:val="0"/>
              <w:spacing w:line="360" w:lineRule="auto"/>
              <w:ind w:firstLine="480" w:firstLineChars="200"/>
            </w:pPr>
            <w:r>
              <w:rPr>
                <w:rFonts w:hint="eastAsia"/>
                <w:color w:val="000000" w:themeColor="text1"/>
                <w14:textFill>
                  <w14:solidFill>
                    <w14:schemeClr w14:val="tx1"/>
                  </w14:solidFill>
                </w14:textFill>
              </w:rPr>
              <w:t>通用环球中铁西安医院现有辐射工作人员</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人，医院已按要求给辐射工作人员</w:t>
            </w:r>
            <w:r>
              <w:rPr>
                <w:rFonts w:hint="eastAsia"/>
              </w:rPr>
              <w:t>配备了个人剂量计，定期送检，并建立个人剂量档案。医院已委托陕西新高科辐射技术有限公司对送检的个人剂量计进行检测，根据医院提供的20</w:t>
            </w:r>
            <w:r>
              <w:t>21</w:t>
            </w:r>
            <w:r>
              <w:rPr>
                <w:rFonts w:hint="eastAsia"/>
              </w:rPr>
              <w:t>年</w:t>
            </w:r>
            <w:r>
              <w:t>12</w:t>
            </w:r>
            <w:r>
              <w:rPr>
                <w:rFonts w:hint="eastAsia"/>
              </w:rPr>
              <w:t>月～202</w:t>
            </w:r>
            <w:r>
              <w:t>2</w:t>
            </w:r>
            <w:r>
              <w:rPr>
                <w:rFonts w:hint="eastAsia"/>
              </w:rPr>
              <w:t>年1</w:t>
            </w:r>
            <w:r>
              <w:t>1</w:t>
            </w:r>
            <w:r>
              <w:rPr>
                <w:rFonts w:hint="eastAsia"/>
              </w:rPr>
              <w:t>月期间辐射工作人员个人剂量检测报告（报告编号：第0</w:t>
            </w:r>
            <w:r>
              <w:t>0083-2202-000084</w:t>
            </w:r>
            <w:r>
              <w:rPr>
                <w:rFonts w:hint="eastAsia"/>
              </w:rPr>
              <w:t>、第00083-220</w:t>
            </w:r>
            <w:r>
              <w:t>3</w:t>
            </w:r>
            <w:r>
              <w:rPr>
                <w:rFonts w:hint="eastAsia"/>
              </w:rPr>
              <w:t>-000</w:t>
            </w:r>
            <w:r>
              <w:t>454</w:t>
            </w:r>
            <w:r>
              <w:rPr>
                <w:rFonts w:hint="eastAsia"/>
              </w:rPr>
              <w:t>、第00083-220</w:t>
            </w:r>
            <w:r>
              <w:t>4</w:t>
            </w:r>
            <w:r>
              <w:rPr>
                <w:rFonts w:hint="eastAsia"/>
              </w:rPr>
              <w:t>-000</w:t>
            </w:r>
            <w:r>
              <w:t>870</w:t>
            </w:r>
            <w:r>
              <w:rPr>
                <w:rFonts w:hint="eastAsia"/>
              </w:rPr>
              <w:t>、第00083-220</w:t>
            </w:r>
            <w:r>
              <w:t>6</w:t>
            </w:r>
            <w:r>
              <w:rPr>
                <w:rFonts w:hint="eastAsia"/>
              </w:rPr>
              <w:t>-00</w:t>
            </w:r>
            <w:r>
              <w:t>1266</w:t>
            </w:r>
            <w:r>
              <w:rPr>
                <w:rFonts w:hint="eastAsia"/>
              </w:rPr>
              <w:t>），</w:t>
            </w:r>
            <w:r>
              <w:rPr>
                <w:rFonts w:hint="eastAsia"/>
                <w:color w:val="000000" w:themeColor="text1"/>
                <w14:textFill>
                  <w14:solidFill>
                    <w14:schemeClr w14:val="tx1"/>
                  </w14:solidFill>
                </w14:textFill>
              </w:rPr>
              <w:t>医院辐射工作人员年有效剂量最大值为</w:t>
            </w:r>
            <w:r>
              <w:rPr>
                <w:color w:val="000000" w:themeColor="text1"/>
                <w14:textFill>
                  <w14:solidFill>
                    <w14:schemeClr w14:val="tx1"/>
                  </w14:solidFill>
                </w14:textFill>
              </w:rPr>
              <w:t>0.44</w:t>
            </w:r>
            <w:r>
              <w:rPr>
                <w:rFonts w:hint="eastAsia"/>
                <w:color w:val="000000" w:themeColor="text1"/>
                <w14:textFill>
                  <w14:solidFill>
                    <w14:schemeClr w14:val="tx1"/>
                  </w14:solidFill>
                </w14:textFill>
              </w:rPr>
              <w:t>mSv/</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r>
              <w:rPr>
                <w:rFonts w:hint="eastAsia"/>
              </w:rPr>
              <w:t>满足《电离辐射防护与辐射源安全基本标准》（GB18871-2002）规定的职业人员年有效剂量基本限值要求。</w:t>
            </w:r>
          </w:p>
          <w:p>
            <w:pPr>
              <w:adjustRightInd w:val="0"/>
              <w:spacing w:line="360" w:lineRule="auto"/>
              <w:ind w:firstLine="480" w:firstLineChars="200"/>
            </w:pPr>
            <w:r>
              <w:rPr>
                <w:rFonts w:hint="eastAsia"/>
                <w:color w:val="000000"/>
              </w:rPr>
              <w:t>根据建设单位提供的资料，202</w:t>
            </w:r>
            <w:r>
              <w:rPr>
                <w:color w:val="000000"/>
              </w:rPr>
              <w:t>2</w:t>
            </w:r>
            <w:r>
              <w:rPr>
                <w:rFonts w:hint="eastAsia"/>
                <w:color w:val="000000"/>
              </w:rPr>
              <w:t>年</w:t>
            </w:r>
            <w:r>
              <w:rPr>
                <w:color w:val="000000"/>
              </w:rPr>
              <w:t>10</w:t>
            </w:r>
            <w:r>
              <w:rPr>
                <w:rFonts w:hint="eastAsia"/>
                <w:color w:val="000000"/>
              </w:rPr>
              <w:t>月，通用环球中铁西安医院委托陕西华大普泰检测技术有限公司对医院射线装置工作场所及周围环境进行了监测，同时出具了监测报告（H</w:t>
            </w:r>
            <w:r>
              <w:rPr>
                <w:color w:val="000000"/>
              </w:rPr>
              <w:t>DPT-2022-JC0224</w:t>
            </w:r>
            <w:r>
              <w:rPr>
                <w:rFonts w:hint="eastAsia"/>
                <w:color w:val="000000"/>
              </w:rPr>
              <w:t>）。</w:t>
            </w:r>
            <w:r>
              <w:rPr>
                <w:rFonts w:hint="eastAsia"/>
              </w:rPr>
              <w:t>监测结果为：经现场防护监测，医院所用X射线拍片机、车载X射线拍片机射线装置正常工况下机房四周屏蔽墙体、防护门外表面30cm处及工作人员操作位置处的周围剂量当量率均小于25</w:t>
            </w:r>
            <w:r>
              <w:t>μ</w:t>
            </w:r>
            <w:r>
              <w:rPr>
                <w:rFonts w:hint="eastAsia"/>
              </w:rPr>
              <w:t>Sv/h，医院所用X射线牙片机、CT机、移动X光机、X射线胃肠机、口腔颌面部锥形束计算机体层摄影设备正常工况下机房四周屏蔽墙体、防护门、观察窗外表面30cm处及工作人员操作位置处的周围剂量当量率均小于2.5</w:t>
            </w:r>
            <w:r>
              <w:t>μ</w:t>
            </w:r>
            <w:r>
              <w:rPr>
                <w:rFonts w:hint="eastAsia"/>
              </w:rPr>
              <w:t>Sv/h，满足《放射诊断放射防护要求》（GBZ130-20</w:t>
            </w:r>
            <w:r>
              <w:t>20</w:t>
            </w:r>
            <w:r>
              <w:rPr>
                <w:rFonts w:hint="eastAsia"/>
              </w:rPr>
              <w:t>）具有短时、高剂量率曝光的摄影程序（如DR、CR、屏片摄影）机房外的周围剂量当量率应不大于25</w:t>
            </w:r>
            <w:r>
              <w:t>μ</w:t>
            </w:r>
            <w:r>
              <w:rPr>
                <w:rFonts w:hint="eastAsia"/>
              </w:rPr>
              <w:t>Sv/h，具有透视功能的X射线设备、CT机等射线装置正常工况下机房外的周围剂量当量率应不大于2.5</w:t>
            </w:r>
            <w:r>
              <w:t>μ</w:t>
            </w:r>
            <w:r>
              <w:rPr>
                <w:rFonts w:hint="eastAsia"/>
              </w:rPr>
              <w:t>Sv/h。</w:t>
            </w:r>
          </w:p>
          <w:p>
            <w:pPr>
              <w:adjustRightInd w:val="0"/>
              <w:spacing w:line="360" w:lineRule="auto"/>
              <w:ind w:firstLine="480" w:firstLineChars="200"/>
            </w:pPr>
            <w:r>
              <w:rPr>
                <w:rFonts w:hint="eastAsia"/>
              </w:rPr>
              <w:t>根据建设单位提供的资料，医院辐射工作人员中的</w:t>
            </w:r>
            <w:r>
              <w:t>14</w:t>
            </w:r>
            <w:r>
              <w:rPr>
                <w:rFonts w:hint="eastAsia"/>
              </w:rPr>
              <w:t>人参加了职业健康体检（体检单位：核工业四一七医院），根据医院提供的辐射工作人员职业健康体检报告，结果显示未发现放射性职业禁忌，医院辐射工作人员均可继续从事原放射工作。</w:t>
            </w:r>
          </w:p>
          <w:p>
            <w:pPr>
              <w:adjustRightInd w:val="0"/>
              <w:spacing w:line="360" w:lineRule="auto"/>
              <w:ind w:firstLine="480" w:firstLineChars="200"/>
              <w:rPr>
                <w:color w:val="000000" w:themeColor="text1"/>
                <w14:textFill>
                  <w14:solidFill>
                    <w14:schemeClr w14:val="tx1"/>
                  </w14:solidFill>
                </w14:textFill>
              </w:rPr>
            </w:pPr>
            <w:r>
              <w:rPr>
                <w:rFonts w:hint="eastAsia"/>
              </w:rPr>
              <w:t>通用环球中铁西安医院已根据陕西省生态环境厅核技术利用单位辐射安全管理标准化建设相关要求</w:t>
            </w:r>
            <w:r>
              <w:rPr>
                <w:rFonts w:hint="eastAsia"/>
                <w:color w:val="000000" w:themeColor="text1"/>
                <w14:textFill>
                  <w14:solidFill>
                    <w14:schemeClr w14:val="tx1"/>
                  </w14:solidFill>
                </w14:textFill>
              </w:rPr>
              <w:t>，成立了通用环球中铁西安医院辐射卫生管理机构及领导小组，以医院副院长赵芳仍为组长，质控办主任为副组长，领导</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名组员，明确了小组成员以及职责。医院已安排专人兼职负责医院辐射安全管理工作；医院现已制定了较为完善的规章制度，主要有：《放射科设备操</w:t>
            </w:r>
            <w:r>
              <w:rPr>
                <w:rFonts w:hint="eastAsia"/>
              </w:rPr>
              <w:t>作规程》、《放射防护管理制度》、</w:t>
            </w:r>
            <w:r>
              <w:rPr>
                <w:rFonts w:hint="eastAsia"/>
                <w:color w:val="000000"/>
              </w:rPr>
              <w:t>《放射科设备维修制度》、《放射科设备的维护、保养制度》、《放射科辐射安全管理制度》、</w:t>
            </w:r>
            <w:r>
              <w:rPr>
                <w:rFonts w:hint="eastAsia"/>
                <w:color w:val="000000" w:themeColor="text1"/>
                <w14:textFill>
                  <w14:solidFill>
                    <w14:schemeClr w14:val="tx1"/>
                  </w14:solidFill>
                </w14:textFill>
              </w:rPr>
              <w:t>《放射科X线辐射防护管理制度》、《放射科设备使用制度》、《放射工作人员岗位职责》、《放射科辐射监测计划》、《放射工作人员档案管理制度》等制度，用于医院辐射安全管理。医院已针对可能发生辐射事故类型，制定了辐射事故应急预案；</w:t>
            </w:r>
            <w:r>
              <w:rPr>
                <w:rFonts w:hint="eastAsia"/>
              </w:rPr>
              <w:t>依据辐射安全管理标准化文件相关内容，已对医院射线装置工作场所进行标准化管理，并制定有标准化文件，配备有相应的辐射安全与防护措施。</w:t>
            </w:r>
          </w:p>
          <w:p>
            <w:pPr>
              <w:pStyle w:val="2"/>
              <w:ind w:firstLine="480"/>
              <w:rPr>
                <w:rFonts w:ascii="宋体" w:hAnsi="宋体" w:eastAsia="宋体"/>
              </w:rPr>
            </w:pPr>
            <w:r>
              <w:rPr>
                <w:rFonts w:hint="eastAsia" w:ascii="宋体" w:hAnsi="宋体" w:eastAsia="宋体"/>
              </w:rPr>
              <w:t>环评要求：（1）医院应按照《陕西省环境保护厅办公室关于印发新修订的&lt;陕西省核技术利用陕西省核技术利用单位辐射安全管理标准化建设项目表&gt;的通知》（陕环办发〔2018〕29号）相关要求，在今后日常工作中应严格落实各项辐射安全管理制度，并根据实际工作对其进行不断完善，使之更满足辐射安全管理要求。医院应一步完善辐射事故急预案，并加强应演练。</w:t>
            </w:r>
          </w:p>
          <w:p>
            <w:pPr>
              <w:pStyle w:val="2"/>
              <w:ind w:firstLine="480"/>
              <w:rPr>
                <w:rFonts w:ascii="宋体" w:hAnsi="宋体" w:eastAsia="宋体"/>
              </w:rPr>
            </w:pPr>
            <w:r>
              <w:rPr>
                <w:rFonts w:hint="eastAsia" w:ascii="宋体" w:hAnsi="宋体" w:eastAsia="宋体"/>
              </w:rPr>
              <w:t>（2）本项目建成后，应结合公司实际运行情况和本项目的事故工况分析，应及时修订《辐射事故应急预案》，将D</w:t>
            </w:r>
            <w:r>
              <w:rPr>
                <w:rFonts w:ascii="宋体" w:hAnsi="宋体" w:eastAsia="宋体"/>
              </w:rPr>
              <w:t>SA</w:t>
            </w:r>
            <w:r>
              <w:rPr>
                <w:rFonts w:hint="eastAsia" w:ascii="宋体" w:hAnsi="宋体" w:eastAsia="宋体"/>
              </w:rPr>
              <w:t>应急内容纳入《辐射事故应急预案》，同时医院还应制定《DSA操作规程》、《DSA室岗位职责》、《DSA放射安全防护规章制度》、《放射人员个人剂量监测制度》等制度以满足辐射安全管理要求。</w:t>
            </w:r>
          </w:p>
          <w:p>
            <w:pPr>
              <w:pStyle w:val="2"/>
              <w:ind w:firstLine="480"/>
              <w:rPr>
                <w:rFonts w:ascii="宋体" w:hAnsi="宋体" w:eastAsia="宋体"/>
              </w:rPr>
            </w:pPr>
            <w:r>
              <w:rPr>
                <w:rFonts w:hint="eastAsia" w:ascii="宋体" w:hAnsi="宋体" w:eastAsia="宋体"/>
              </w:rPr>
              <w:t>（3）医院应协调并明确辐射工作人员种类，确保所有辐射工作人员均进行了体检、</w:t>
            </w:r>
            <w:r>
              <w:rPr>
                <w:rFonts w:hint="eastAsia" w:ascii="宋体" w:hAnsi="宋体" w:eastAsia="宋体"/>
                <w:color w:val="000000" w:themeColor="text1"/>
                <w14:textFill>
                  <w14:solidFill>
                    <w14:schemeClr w14:val="tx1"/>
                  </w14:solidFill>
                </w14:textFill>
              </w:rPr>
              <w:t>个人剂量检测和</w:t>
            </w:r>
            <w:r>
              <w:rPr>
                <w:rFonts w:hint="eastAsia" w:ascii="宋体" w:hAnsi="宋体" w:eastAsia="宋体"/>
              </w:rPr>
              <w:t>辐射培训工作，并为辐射工作人员配备防护用品。</w:t>
            </w:r>
          </w:p>
          <w:p>
            <w:pPr>
              <w:adjustRightInd w:val="0"/>
              <w:spacing w:line="360" w:lineRule="auto"/>
              <w:ind w:firstLine="482" w:firstLineChars="200"/>
              <w:rPr>
                <w:b/>
                <w:color w:val="000000"/>
              </w:rPr>
            </w:pPr>
            <w:r>
              <w:rPr>
                <w:b/>
                <w:color w:val="000000"/>
              </w:rPr>
              <w:t>1.6项目</w:t>
            </w:r>
            <w:r>
              <w:rPr>
                <w:rFonts w:hint="eastAsia"/>
                <w:b/>
                <w:color w:val="000000"/>
              </w:rPr>
              <w:t>概述</w:t>
            </w:r>
          </w:p>
          <w:p>
            <w:pPr>
              <w:adjustRightInd w:val="0"/>
              <w:spacing w:line="360" w:lineRule="auto"/>
              <w:ind w:firstLine="482" w:firstLineChars="200"/>
              <w:rPr>
                <w:b/>
                <w:color w:val="000000"/>
              </w:rPr>
            </w:pPr>
            <w:r>
              <w:rPr>
                <w:b/>
                <w:color w:val="000000"/>
              </w:rPr>
              <w:t xml:space="preserve">1.6.1 </w:t>
            </w:r>
            <w:r>
              <w:rPr>
                <w:rFonts w:hint="eastAsia"/>
                <w:b/>
                <w:color w:val="000000"/>
              </w:rPr>
              <w:t>项目简况</w:t>
            </w:r>
          </w:p>
          <w:p>
            <w:pPr>
              <w:pStyle w:val="2"/>
              <w:ind w:firstLine="480"/>
              <w:rPr>
                <w:rFonts w:ascii="宋体" w:hAnsi="宋体" w:eastAsia="宋体"/>
              </w:rPr>
            </w:pPr>
            <w:r>
              <w:rPr>
                <w:rFonts w:hint="eastAsia" w:eastAsia="宋体"/>
              </w:rPr>
              <w:t>项目名称：</w:t>
            </w:r>
            <w:r>
              <w:rPr>
                <w:rFonts w:hint="eastAsia" w:ascii="宋体" w:hAnsi="宋体" w:eastAsia="宋体"/>
              </w:rPr>
              <w:t>通用环球中铁西安医院数字减影血管造影机核技术利用项目。</w:t>
            </w:r>
          </w:p>
          <w:p>
            <w:pPr>
              <w:pStyle w:val="2"/>
              <w:ind w:firstLine="480"/>
              <w:rPr>
                <w:rFonts w:eastAsia="宋体"/>
              </w:rPr>
            </w:pPr>
            <w:r>
              <w:rPr>
                <w:rFonts w:hint="eastAsia" w:eastAsia="宋体"/>
              </w:rPr>
              <w:t>建设地点：陕西省西安市南二环东段319号通用环球中铁西安医院。</w:t>
            </w:r>
          </w:p>
          <w:p>
            <w:pPr>
              <w:pStyle w:val="2"/>
              <w:ind w:firstLine="480"/>
              <w:rPr>
                <w:rFonts w:eastAsia="宋体"/>
                <w:color w:val="000000" w:themeColor="text1"/>
                <w14:textFill>
                  <w14:solidFill>
                    <w14:schemeClr w14:val="tx1"/>
                  </w14:solidFill>
                </w14:textFill>
              </w:rPr>
            </w:pPr>
            <w:r>
              <w:rPr>
                <w:rFonts w:hint="eastAsia" w:eastAsia="宋体"/>
              </w:rPr>
              <w:t>项目内容：通用环球中铁西安医院对住院部一层部分医疗用房进行改造</w:t>
            </w:r>
            <w:r>
              <w:rPr>
                <w:rFonts w:hint="eastAsia" w:eastAsia="宋体"/>
                <w:color w:val="000000" w:themeColor="text1"/>
                <w14:textFill>
                  <w14:solidFill>
                    <w14:schemeClr w14:val="tx1"/>
                  </w14:solidFill>
                </w14:textFill>
              </w:rPr>
              <w:t>（改造前用途：作为门卫处、监控室，不涉及核技术利用项目），新增1台数字减影血管造影机（D</w:t>
            </w:r>
            <w:r>
              <w:rPr>
                <w:rFonts w:eastAsia="宋体"/>
                <w:color w:val="000000" w:themeColor="text1"/>
                <w14:textFill>
                  <w14:solidFill>
                    <w14:schemeClr w14:val="tx1"/>
                  </w14:solidFill>
                </w14:textFill>
              </w:rPr>
              <w:t>SA</w:t>
            </w:r>
            <w:r>
              <w:rPr>
                <w:rFonts w:hint="eastAsia" w:eastAsia="宋体"/>
                <w:color w:val="000000" w:themeColor="text1"/>
                <w14:textFill>
                  <w14:solidFill>
                    <w14:schemeClr w14:val="tx1"/>
                  </w14:solidFill>
                </w14:textFill>
              </w:rPr>
              <w:t>），用于介入诊断及辅助治疗。</w:t>
            </w:r>
          </w:p>
          <w:p>
            <w:pPr>
              <w:pStyle w:val="2"/>
              <w:ind w:firstLine="480"/>
              <w:rPr>
                <w:rFonts w:eastAsia="宋体"/>
              </w:rPr>
            </w:pPr>
            <w:r>
              <w:rPr>
                <w:rFonts w:hint="eastAsia" w:eastAsia="宋体"/>
              </w:rPr>
              <w:t>项目投资：</w:t>
            </w:r>
            <w:r>
              <w:rPr>
                <w:rFonts w:eastAsia="宋体"/>
              </w:rPr>
              <w:t>1000</w:t>
            </w:r>
            <w:r>
              <w:rPr>
                <w:rFonts w:hint="eastAsia" w:eastAsia="宋体"/>
              </w:rPr>
              <w:t>万人民币。</w:t>
            </w:r>
          </w:p>
          <w:p>
            <w:pPr>
              <w:adjustRightInd w:val="0"/>
              <w:spacing w:line="360" w:lineRule="auto"/>
              <w:ind w:firstLine="482" w:firstLineChars="200"/>
              <w:rPr>
                <w:b/>
                <w:color w:val="000000"/>
              </w:rPr>
            </w:pPr>
            <w:r>
              <w:rPr>
                <w:b/>
                <w:color w:val="000000"/>
              </w:rPr>
              <w:t xml:space="preserve">1.6.2 </w:t>
            </w:r>
            <w:r>
              <w:rPr>
                <w:rFonts w:hint="eastAsia"/>
                <w:b/>
                <w:color w:val="000000"/>
              </w:rPr>
              <w:t>交通地理位置及四邻关系</w:t>
            </w:r>
          </w:p>
          <w:p>
            <w:pPr>
              <w:pStyle w:val="9"/>
              <w:spacing w:line="360" w:lineRule="auto"/>
              <w:ind w:firstLine="480" w:firstLineChars="200"/>
              <w:jc w:val="both"/>
              <w:rPr>
                <w:color w:val="000000"/>
                <w:shd w:val="clear" w:color="auto" w:fill="FFFFFF"/>
              </w:rPr>
            </w:pPr>
            <w:r>
              <w:rPr>
                <w:rFonts w:hint="eastAsia"/>
                <w:color w:val="000000"/>
                <w:shd w:val="clear" w:color="auto" w:fill="FFFFFF"/>
              </w:rPr>
              <w:t>通用环球中铁西安医院</w:t>
            </w:r>
            <w:r>
              <w:rPr>
                <w:color w:val="000000"/>
                <w:shd w:val="clear" w:color="auto" w:fill="FFFFFF"/>
              </w:rPr>
              <w:t>位于陕西省</w:t>
            </w:r>
            <w:r>
              <w:rPr>
                <w:rFonts w:hint="eastAsia"/>
                <w:color w:val="000000"/>
                <w:shd w:val="clear" w:color="auto" w:fill="FFFFFF"/>
              </w:rPr>
              <w:t>西安市碑林区南二环东段319号</w:t>
            </w:r>
            <w:r>
              <w:rPr>
                <w:color w:val="000000"/>
                <w:shd w:val="clear" w:color="auto" w:fill="FFFFFF"/>
              </w:rPr>
              <w:t>，</w:t>
            </w:r>
            <w:r>
              <w:rPr>
                <w:color w:val="000000"/>
                <w:szCs w:val="22"/>
              </w:rPr>
              <w:t>地理坐标为经度：108.97026503°，纬度：34.23321017°。</w:t>
            </w:r>
            <w:r>
              <w:rPr>
                <w:color w:val="000000"/>
                <w:shd w:val="clear" w:color="auto" w:fill="FFFFFF"/>
              </w:rPr>
              <w:t>处</w:t>
            </w:r>
            <w:r>
              <w:rPr>
                <w:rFonts w:hint="eastAsia"/>
                <w:color w:val="000000"/>
                <w:shd w:val="clear" w:color="auto" w:fill="FFFFFF"/>
              </w:rPr>
              <w:t>于二环东路南端与太乙路</w:t>
            </w:r>
            <w:r>
              <w:rPr>
                <w:color w:val="000000"/>
                <w:shd w:val="clear" w:color="auto" w:fill="FFFFFF"/>
              </w:rPr>
              <w:t>交叉十字</w:t>
            </w:r>
            <w:r>
              <w:rPr>
                <w:rFonts w:hint="eastAsia"/>
                <w:color w:val="000000"/>
                <w:shd w:val="clear" w:color="auto" w:fill="FFFFFF"/>
              </w:rPr>
              <w:t>西北</w:t>
            </w:r>
            <w:r>
              <w:rPr>
                <w:color w:val="000000"/>
                <w:shd w:val="clear" w:color="auto" w:fill="FFFFFF"/>
              </w:rPr>
              <w:t>角</w:t>
            </w:r>
            <w:r>
              <w:rPr>
                <w:rFonts w:hint="eastAsia"/>
                <w:color w:val="000000"/>
                <w:shd w:val="clear" w:color="auto" w:fill="FFFFFF"/>
              </w:rPr>
              <w:t>，</w:t>
            </w:r>
            <w:r>
              <w:rPr>
                <w:color w:val="000000"/>
                <w:shd w:val="clear" w:color="auto" w:fill="FFFFFF"/>
              </w:rPr>
              <w:t>院区</w:t>
            </w:r>
            <w:r>
              <w:rPr>
                <w:rFonts w:hint="eastAsia"/>
                <w:color w:val="000000"/>
                <w:shd w:val="clear" w:color="auto" w:fill="FFFFFF"/>
              </w:rPr>
              <w:t>东侧为曼城国际小区，南侧为西安市儿童医院南区门诊，西侧、北侧为东小区社区。其交通地理位置图见图1-1，周边四邻关系情况见图1-2，医院总平面布局图见图1-3。</w:t>
            </w:r>
          </w:p>
          <w:p>
            <w:pPr>
              <w:pStyle w:val="9"/>
              <w:spacing w:line="360" w:lineRule="auto"/>
              <w:ind w:firstLine="480" w:firstLineChars="200"/>
              <w:jc w:val="both"/>
              <w:rPr>
                <w:color w:val="000000"/>
                <w:shd w:val="clear" w:color="auto" w:fill="FFFFFF"/>
              </w:rPr>
            </w:pPr>
          </w:p>
          <w:p>
            <w:pPr>
              <w:pStyle w:val="9"/>
              <w:spacing w:line="360" w:lineRule="auto"/>
              <w:ind w:firstLine="480" w:firstLineChars="200"/>
              <w:jc w:val="both"/>
              <w:rPr>
                <w:color w:val="000000"/>
                <w:shd w:val="clear" w:color="auto" w:fill="FFFFFF"/>
              </w:rPr>
            </w:pPr>
          </w:p>
          <w:p>
            <w:pPr>
              <w:pStyle w:val="9"/>
              <w:spacing w:line="360" w:lineRule="auto"/>
              <w:ind w:firstLine="480" w:firstLineChars="200"/>
              <w:jc w:val="both"/>
              <w:rPr>
                <w:color w:val="000000"/>
                <w:shd w:val="clear" w:color="auto" w:fill="FFFFFF"/>
              </w:rPr>
            </w:pPr>
          </w:p>
          <w:p>
            <w:pPr>
              <w:pStyle w:val="9"/>
              <w:spacing w:line="360" w:lineRule="auto"/>
              <w:ind w:firstLine="480" w:firstLineChars="200"/>
              <w:jc w:val="both"/>
              <w:rPr>
                <w:color w:val="000000"/>
                <w:shd w:val="clear" w:color="auto" w:fill="FFFFFF"/>
              </w:rPr>
            </w:pPr>
          </w:p>
          <w:p>
            <w:pPr>
              <w:pStyle w:val="9"/>
              <w:spacing w:line="360" w:lineRule="auto"/>
              <w:ind w:firstLine="480" w:firstLineChars="200"/>
              <w:jc w:val="both"/>
              <w:rPr>
                <w:color w:val="000000"/>
                <w:shd w:val="clear" w:color="auto" w:fill="FFFFFF"/>
              </w:rPr>
            </w:pPr>
          </w:p>
          <w:p>
            <w:pPr>
              <w:pStyle w:val="9"/>
              <w:spacing w:line="360" w:lineRule="auto"/>
              <w:ind w:firstLine="480" w:firstLineChars="200"/>
              <w:jc w:val="both"/>
              <w:rPr>
                <w:color w:val="000000"/>
                <w:shd w:val="clear" w:color="auto" w:fill="FFFFFF"/>
              </w:rPr>
            </w:pPr>
          </w:p>
          <w:p>
            <w:pPr>
              <w:pStyle w:val="9"/>
              <w:spacing w:line="360" w:lineRule="auto"/>
              <w:ind w:firstLine="480" w:firstLineChars="200"/>
              <w:jc w:val="both"/>
              <w:rPr>
                <w:color w:val="000000"/>
                <w:shd w:val="clear" w:color="auto" w:fill="FFFFFF"/>
              </w:rPr>
            </w:pPr>
          </w:p>
          <w:p>
            <w:pPr>
              <w:pStyle w:val="9"/>
              <w:spacing w:line="360" w:lineRule="auto"/>
              <w:ind w:firstLine="480" w:firstLineChars="200"/>
              <w:jc w:val="both"/>
              <w:rPr>
                <w:color w:val="000000"/>
                <w:shd w:val="clear" w:color="auto" w:fill="FFFFFF"/>
              </w:rPr>
            </w:pPr>
          </w:p>
          <w:p>
            <w:pPr>
              <w:pStyle w:val="9"/>
              <w:spacing w:line="360" w:lineRule="auto"/>
              <w:jc w:val="both"/>
              <w:rPr>
                <w:color w:val="000000"/>
                <w:shd w:val="clear" w:color="auto" w:fill="FFFFFF"/>
              </w:rPr>
            </w:pPr>
            <w:r>
              <w:drawing>
                <wp:inline distT="0" distB="0" distL="0" distR="0">
                  <wp:extent cx="5731510" cy="4575175"/>
                  <wp:effectExtent l="0" t="0" r="2540" b="0"/>
                  <wp:docPr id="659430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30522"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1510" cy="4575175"/>
                          </a:xfrm>
                          <a:prstGeom prst="rect">
                            <a:avLst/>
                          </a:prstGeom>
                          <a:noFill/>
                          <a:ln>
                            <a:noFill/>
                          </a:ln>
                        </pic:spPr>
                      </pic:pic>
                    </a:graphicData>
                  </a:graphic>
                </wp:inline>
              </w:drawing>
            </w:r>
          </w:p>
          <w:p>
            <w:pPr>
              <w:spacing w:before="79" w:line="187" w:lineRule="auto"/>
              <w:jc w:val="center"/>
              <w:rPr>
                <w:rFonts w:eastAsia="黑体"/>
                <w:b/>
                <w:bCs/>
                <w:spacing w:val="-4"/>
              </w:rPr>
            </w:pPr>
            <w:r>
              <w:rPr>
                <w:rFonts w:eastAsia="黑体"/>
                <w:b/>
                <w:bCs/>
                <w:spacing w:val="-4"/>
              </w:rPr>
              <w:t>图1</w:t>
            </w:r>
            <w:r>
              <w:rPr>
                <w:rFonts w:hint="eastAsia" w:eastAsia="黑体"/>
                <w:b/>
                <w:bCs/>
                <w:spacing w:val="-4"/>
              </w:rPr>
              <w:t>-</w:t>
            </w:r>
            <w:r>
              <w:rPr>
                <w:rFonts w:eastAsia="黑体"/>
                <w:b/>
                <w:bCs/>
                <w:spacing w:val="-4"/>
              </w:rPr>
              <w:t xml:space="preserve">1 </w:t>
            </w:r>
            <w:r>
              <w:rPr>
                <w:rFonts w:hint="eastAsia" w:eastAsia="黑体"/>
                <w:b/>
                <w:bCs/>
                <w:spacing w:val="-4"/>
              </w:rPr>
              <w:t>通用环球中铁西安医院交通</w:t>
            </w:r>
            <w:r>
              <w:rPr>
                <w:rFonts w:eastAsia="黑体"/>
                <w:b/>
                <w:bCs/>
                <w:spacing w:val="-4"/>
              </w:rPr>
              <w:t>地理位置图</w:t>
            </w: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spacing w:before="79" w:line="187" w:lineRule="auto"/>
              <w:jc w:val="center"/>
              <w:rPr>
                <w:rFonts w:ascii="黑体" w:hAnsi="黑体" w:eastAsia="黑体"/>
                <w:b/>
                <w:bCs/>
              </w:rPr>
            </w:pPr>
          </w:p>
          <w:p>
            <w:pPr>
              <w:spacing w:before="79" w:line="187" w:lineRule="auto"/>
              <w:jc w:val="center"/>
              <w:rPr>
                <w:rFonts w:ascii="黑体" w:hAnsi="黑体" w:eastAsia="黑体"/>
                <w:b/>
                <w:bCs/>
              </w:rPr>
            </w:pPr>
          </w:p>
          <w:p>
            <w:pPr>
              <w:spacing w:before="79" w:line="187" w:lineRule="auto"/>
              <w:jc w:val="center"/>
              <w:rPr>
                <w:rFonts w:ascii="黑体" w:hAnsi="黑体" w:eastAsia="黑体"/>
                <w:b/>
                <w:bCs/>
              </w:rPr>
            </w:pPr>
          </w:p>
          <w:p>
            <w:pPr>
              <w:spacing w:before="79" w:line="187" w:lineRule="auto"/>
              <w:jc w:val="center"/>
              <w:rPr>
                <w:rFonts w:ascii="黑体" w:hAnsi="黑体" w:eastAsia="黑体"/>
                <w:b/>
                <w:bCs/>
              </w:rPr>
            </w:pPr>
            <w:r>
              <w:drawing>
                <wp:inline distT="0" distB="0" distL="0" distR="0">
                  <wp:extent cx="5731510" cy="4358005"/>
                  <wp:effectExtent l="0" t="0" r="2540" b="4445"/>
                  <wp:docPr id="409857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57854"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1510" cy="4358005"/>
                          </a:xfrm>
                          <a:prstGeom prst="rect">
                            <a:avLst/>
                          </a:prstGeom>
                          <a:noFill/>
                          <a:ln>
                            <a:noFill/>
                          </a:ln>
                        </pic:spPr>
                      </pic:pic>
                    </a:graphicData>
                  </a:graphic>
                </wp:inline>
              </w:drawing>
            </w:r>
          </w:p>
          <w:p>
            <w:pPr>
              <w:spacing w:before="79" w:line="187" w:lineRule="auto"/>
              <w:jc w:val="center"/>
              <w:rPr>
                <w:rFonts w:eastAsia="黑体"/>
                <w:b/>
                <w:bCs/>
              </w:rPr>
            </w:pPr>
            <w:r>
              <w:rPr>
                <w:rFonts w:hint="eastAsia" w:ascii="黑体" w:hAnsi="黑体" w:eastAsia="黑体"/>
                <w:b/>
                <w:bCs/>
              </w:rPr>
              <w:t>图</w:t>
            </w:r>
            <w:r>
              <w:rPr>
                <w:rFonts w:hint="eastAsia" w:eastAsia="黑体"/>
                <w:b/>
                <w:bCs/>
              </w:rPr>
              <w:t>1</w:t>
            </w:r>
            <w:r>
              <w:rPr>
                <w:rFonts w:eastAsia="黑体"/>
                <w:b/>
                <w:bCs/>
              </w:rPr>
              <w:t>-2</w:t>
            </w:r>
            <w:r>
              <w:rPr>
                <w:rFonts w:hint="eastAsia" w:eastAsia="黑体"/>
                <w:b/>
                <w:bCs/>
              </w:rPr>
              <w:t>通用环球中铁西安医院四邻关系示意图</w:t>
            </w: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66"/>
              <w:jc w:val="center"/>
              <w:rPr>
                <w:rFonts w:eastAsia="黑体"/>
                <w:b/>
                <w:bCs/>
                <w:spacing w:val="-4"/>
              </w:rPr>
            </w:pPr>
          </w:p>
          <w:p>
            <w:pPr>
              <w:pStyle w:val="2"/>
              <w:ind w:firstLine="466"/>
              <w:jc w:val="center"/>
              <w:rPr>
                <w:rFonts w:eastAsia="等线"/>
              </w:rPr>
            </w:pPr>
            <w:r>
              <w:rPr>
                <w:rFonts w:hint="eastAsia" w:eastAsia="黑体"/>
                <w:b/>
                <w:bCs/>
                <w:spacing w:val="-4"/>
              </w:rPr>
              <w:t>图</w:t>
            </w:r>
            <w:r>
              <w:rPr>
                <w:rFonts w:eastAsia="黑体"/>
                <w:b/>
                <w:bCs/>
                <w:spacing w:val="-4"/>
              </w:rPr>
              <w:t>1</w:t>
            </w:r>
            <w:r>
              <w:rPr>
                <w:rFonts w:hint="eastAsia" w:eastAsia="黑体"/>
                <w:b/>
                <w:bCs/>
                <w:spacing w:val="-4"/>
              </w:rPr>
              <w:t>-</w:t>
            </w:r>
            <w:r>
              <w:rPr>
                <w:rFonts w:eastAsia="黑体"/>
                <w:b/>
                <w:bCs/>
                <w:spacing w:val="-4"/>
              </w:rPr>
              <w:t xml:space="preserve">3  </w:t>
            </w:r>
            <w:r>
              <w:rPr>
                <w:rFonts w:hint="eastAsia" w:eastAsia="黑体"/>
                <w:b/>
                <w:bCs/>
                <w:spacing w:val="-4"/>
              </w:rPr>
              <w:t>通用环球中铁西安医院总平面布局图</w:t>
            </w:r>
            <w:r>
              <w:drawing>
                <wp:anchor distT="0" distB="0" distL="114300" distR="114300" simplePos="0" relativeHeight="251674624" behindDoc="0" locked="0" layoutInCell="1" allowOverlap="1">
                  <wp:simplePos x="0" y="0"/>
                  <wp:positionH relativeFrom="column">
                    <wp:posOffset>78105</wp:posOffset>
                  </wp:positionH>
                  <wp:positionV relativeFrom="paragraph">
                    <wp:posOffset>-6137275</wp:posOffset>
                  </wp:positionV>
                  <wp:extent cx="5509895" cy="5693410"/>
                  <wp:effectExtent l="0" t="0" r="0" b="2540"/>
                  <wp:wrapTopAndBottom/>
                  <wp:docPr id="9525272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27229"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09895" cy="5693410"/>
                          </a:xfrm>
                          <a:prstGeom prst="rect">
                            <a:avLst/>
                          </a:prstGeom>
                          <a:noFill/>
                          <a:ln>
                            <a:noFill/>
                          </a:ln>
                        </pic:spPr>
                      </pic:pic>
                    </a:graphicData>
                  </a:graphic>
                </wp:anchor>
              </w:drawing>
            </w:r>
          </w:p>
          <w:p>
            <w:pPr>
              <w:adjustRightInd w:val="0"/>
              <w:spacing w:line="360" w:lineRule="auto"/>
              <w:ind w:firstLine="482" w:firstLineChars="200"/>
              <w:rPr>
                <w:b/>
                <w:color w:val="000000"/>
              </w:rPr>
            </w:pPr>
            <w:r>
              <w:rPr>
                <w:b/>
                <w:color w:val="000000"/>
              </w:rPr>
              <w:t xml:space="preserve">1.6.3 </w:t>
            </w:r>
            <w:r>
              <w:rPr>
                <w:rFonts w:hint="eastAsia"/>
                <w:b/>
                <w:color w:val="000000"/>
              </w:rPr>
              <w:t>本次环评内容与规模</w:t>
            </w:r>
          </w:p>
          <w:p>
            <w:pPr>
              <w:adjustRightIn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本次主要对通用环球中铁西安医院住院部一层改造后的D</w:t>
            </w:r>
            <w:r>
              <w:rPr>
                <w:color w:val="000000" w:themeColor="text1"/>
                <w14:textFill>
                  <w14:solidFill>
                    <w14:schemeClr w14:val="tx1"/>
                  </w14:solidFill>
                </w14:textFill>
              </w:rPr>
              <w:t>SA</w:t>
            </w:r>
            <w:r>
              <w:rPr>
                <w:rFonts w:hint="eastAsia"/>
                <w:color w:val="000000" w:themeColor="text1"/>
                <w14:textFill>
                  <w14:solidFill>
                    <w14:schemeClr w14:val="tx1"/>
                  </w14:solidFill>
                </w14:textFill>
              </w:rPr>
              <w:t>手术室内新增的1台数字减影血管造影机（D</w:t>
            </w:r>
            <w:r>
              <w:rPr>
                <w:color w:val="000000" w:themeColor="text1"/>
                <w14:textFill>
                  <w14:solidFill>
                    <w14:schemeClr w14:val="tx1"/>
                  </w14:solidFill>
                </w14:textFill>
              </w:rPr>
              <w:t>SA</w:t>
            </w:r>
            <w:r>
              <w:rPr>
                <w:rFonts w:hint="eastAsia"/>
                <w:color w:val="000000" w:themeColor="text1"/>
                <w14:textFill>
                  <w14:solidFill>
                    <w14:schemeClr w14:val="tx1"/>
                  </w14:solidFill>
                </w14:textFill>
              </w:rPr>
              <w:t>）进行环境影响评价。</w:t>
            </w:r>
          </w:p>
          <w:p>
            <w:pPr>
              <w:adjustRightIn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根据医院提供的资料，项目位于住院部一层西侧，本项目相关建设内容有：DSA机房、操作间、缓冲间、走廊、设备间、医护办、库房等其他辅助用房区域。</w:t>
            </w:r>
          </w:p>
          <w:p>
            <w:pPr>
              <w:adjustRightInd w:val="0"/>
              <w:spacing w:line="360" w:lineRule="auto"/>
              <w:ind w:firstLine="480" w:firstLineChars="200"/>
            </w:pPr>
            <w:r>
              <w:rPr>
                <w:rFonts w:hint="eastAsia"/>
              </w:rPr>
              <w:t>医院拟将改造完成后的住院部一层西侧1间手术室（原门卫处、监控室、库房）作为DSA手术室，在其中配置1台数字减影血管造影机（DSA）用于介入诊断及辅助治疗。（使用D</w:t>
            </w:r>
            <w:r>
              <w:t>SAS</w:t>
            </w:r>
            <w:r>
              <w:rPr>
                <w:rFonts w:hint="eastAsia"/>
              </w:rPr>
              <w:t>型号为：通用G</w:t>
            </w:r>
            <w:r>
              <w:t>E Optima IGS Venus</w:t>
            </w:r>
            <w:r>
              <w:rPr>
                <w:rFonts w:hint="eastAsia"/>
              </w:rPr>
              <w:t>，最大管电压为12</w:t>
            </w:r>
            <w:r>
              <w:t>5</w:t>
            </w:r>
            <w:r>
              <w:rPr>
                <w:rFonts w:hint="eastAsia"/>
              </w:rPr>
              <w:t>kV，最大管电流为1</w:t>
            </w:r>
            <w:r>
              <w:t>000</w:t>
            </w:r>
            <w:r>
              <w:rPr>
                <w:rFonts w:hint="eastAsia"/>
              </w:rPr>
              <w:t>mA）。</w:t>
            </w:r>
          </w:p>
          <w:p>
            <w:pPr>
              <w:adjustRightInd w:val="0"/>
              <w:spacing w:line="360" w:lineRule="auto"/>
              <w:ind w:firstLine="480" w:firstLineChars="200"/>
            </w:pPr>
            <w:r>
              <w:rPr>
                <w:rFonts w:hint="eastAsia"/>
              </w:rPr>
              <w:t>DSA机房西侧为缓冲间、污物间，东侧为设备间、走廊，北侧为操作间、C</w:t>
            </w:r>
            <w:r>
              <w:t>T</w:t>
            </w:r>
            <w:r>
              <w:rPr>
                <w:rFonts w:hint="eastAsia"/>
              </w:rPr>
              <w:t>机房，南侧为空地，楼上为（西安市儿童医院医生办公室），楼下为配电间。项目建设内容一览表见表1-</w:t>
            </w:r>
            <w:r>
              <w:t>3</w:t>
            </w:r>
          </w:p>
          <w:p>
            <w:pPr>
              <w:widowControl/>
              <w:spacing w:line="360" w:lineRule="auto"/>
              <w:jc w:val="center"/>
              <w:rPr>
                <w:b/>
                <w:sz w:val="21"/>
                <w:szCs w:val="21"/>
              </w:rPr>
            </w:pPr>
            <w:r>
              <w:rPr>
                <w:b/>
                <w:sz w:val="21"/>
                <w:szCs w:val="21"/>
              </w:rPr>
              <w:t>表1-3  项目组成一览表</w:t>
            </w:r>
          </w:p>
          <w:tbl>
            <w:tblPr>
              <w:tblStyle w:val="1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836"/>
              <w:gridCol w:w="2028"/>
              <w:gridCol w:w="3654"/>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49" w:type="dxa"/>
                  <w:tcBorders>
                    <w:tl2br w:val="nil"/>
                    <w:tr2bl w:val="nil"/>
                  </w:tcBorders>
                  <w:vAlign w:val="center"/>
                </w:tcPr>
                <w:p>
                  <w:pPr>
                    <w:pStyle w:val="51"/>
                    <w:jc w:val="both"/>
                    <w:rPr>
                      <w:b/>
                      <w:bCs/>
                    </w:rPr>
                  </w:pPr>
                  <w:r>
                    <w:rPr>
                      <w:b/>
                      <w:bCs/>
                    </w:rPr>
                    <w:t>类别</w:t>
                  </w:r>
                </w:p>
              </w:tc>
              <w:tc>
                <w:tcPr>
                  <w:tcW w:w="1836" w:type="dxa"/>
                  <w:tcBorders>
                    <w:tl2br w:val="nil"/>
                    <w:tr2bl w:val="nil"/>
                  </w:tcBorders>
                  <w:vAlign w:val="center"/>
                </w:tcPr>
                <w:p>
                  <w:pPr>
                    <w:pStyle w:val="51"/>
                    <w:ind w:firstLine="482"/>
                    <w:rPr>
                      <w:b/>
                      <w:bCs/>
                    </w:rPr>
                  </w:pPr>
                  <w:r>
                    <w:rPr>
                      <w:b/>
                      <w:bCs/>
                    </w:rPr>
                    <w:t>项目名称</w:t>
                  </w:r>
                </w:p>
              </w:tc>
              <w:tc>
                <w:tcPr>
                  <w:tcW w:w="5682" w:type="dxa"/>
                  <w:gridSpan w:val="2"/>
                  <w:tcBorders>
                    <w:tl2br w:val="nil"/>
                    <w:tr2bl w:val="nil"/>
                  </w:tcBorders>
                  <w:vAlign w:val="center"/>
                </w:tcPr>
                <w:p>
                  <w:pPr>
                    <w:pStyle w:val="51"/>
                    <w:ind w:firstLine="482"/>
                    <w:rPr>
                      <w:b/>
                      <w:bCs/>
                    </w:rPr>
                  </w:pPr>
                  <w:r>
                    <w:rPr>
                      <w:b/>
                      <w:bCs/>
                    </w:rPr>
                    <w:t>建设内容</w:t>
                  </w:r>
                </w:p>
              </w:tc>
              <w:tc>
                <w:tcPr>
                  <w:tcW w:w="1093" w:type="dxa"/>
                  <w:tcBorders>
                    <w:tl2br w:val="nil"/>
                    <w:tr2bl w:val="nil"/>
                  </w:tcBorders>
                  <w:vAlign w:val="center"/>
                </w:tcPr>
                <w:p>
                  <w:pPr>
                    <w:pStyle w:val="51"/>
                    <w:rPr>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449" w:type="dxa"/>
                  <w:vMerge w:val="restart"/>
                  <w:tcBorders>
                    <w:tl2br w:val="nil"/>
                    <w:tr2bl w:val="nil"/>
                  </w:tcBorders>
                  <w:vAlign w:val="center"/>
                </w:tcPr>
                <w:p>
                  <w:pPr>
                    <w:pStyle w:val="51"/>
                    <w:jc w:val="both"/>
                  </w:pPr>
                  <w:r>
                    <w:rPr>
                      <w:rFonts w:hint="eastAsia"/>
                    </w:rPr>
                    <w:t>主</w:t>
                  </w:r>
                </w:p>
                <w:p>
                  <w:pPr>
                    <w:pStyle w:val="51"/>
                    <w:jc w:val="both"/>
                  </w:pPr>
                  <w:r>
                    <w:rPr>
                      <w:rFonts w:hint="eastAsia"/>
                    </w:rPr>
                    <w:t>体</w:t>
                  </w:r>
                </w:p>
                <w:p>
                  <w:pPr>
                    <w:pStyle w:val="51"/>
                    <w:jc w:val="both"/>
                  </w:pPr>
                  <w:r>
                    <w:rPr>
                      <w:rFonts w:hint="eastAsia"/>
                    </w:rPr>
                    <w:t>工</w:t>
                  </w:r>
                </w:p>
                <w:p>
                  <w:pPr>
                    <w:pStyle w:val="51"/>
                    <w:jc w:val="both"/>
                  </w:pPr>
                  <w:r>
                    <w:rPr>
                      <w:rFonts w:hint="eastAsia"/>
                    </w:rPr>
                    <w:t>程</w:t>
                  </w:r>
                </w:p>
              </w:tc>
              <w:tc>
                <w:tcPr>
                  <w:tcW w:w="1836" w:type="dxa"/>
                  <w:vMerge w:val="restart"/>
                  <w:tcBorders>
                    <w:tl2br w:val="nil"/>
                    <w:tr2bl w:val="nil"/>
                  </w:tcBorders>
                  <w:vAlign w:val="center"/>
                </w:tcPr>
                <w:p>
                  <w:pPr>
                    <w:pStyle w:val="51"/>
                    <w:ind w:firstLine="480"/>
                  </w:pPr>
                  <w:r>
                    <w:t>DSA手术室</w:t>
                  </w:r>
                </w:p>
              </w:tc>
              <w:tc>
                <w:tcPr>
                  <w:tcW w:w="5682" w:type="dxa"/>
                  <w:gridSpan w:val="2"/>
                  <w:tcBorders>
                    <w:tl2br w:val="nil"/>
                    <w:tr2bl w:val="nil"/>
                  </w:tcBorders>
                  <w:vAlign w:val="center"/>
                </w:tcPr>
                <w:p>
                  <w:pPr>
                    <w:pStyle w:val="51"/>
                    <w:spacing w:line="240" w:lineRule="exact"/>
                    <w:ind w:firstLine="482"/>
                    <w:jc w:val="both"/>
                  </w:pPr>
                  <w:r>
                    <w:t>DSA手术室（</w:t>
                  </w:r>
                  <w:r>
                    <w:rPr>
                      <w:szCs w:val="21"/>
                    </w:rPr>
                    <w:t>长×宽×高：7.30m×5.44m×3.00m</w:t>
                  </w:r>
                  <w:r>
                    <w:t>）面积为39.71m</w:t>
                  </w:r>
                  <w:r>
                    <w:rPr>
                      <w:vertAlign w:val="superscript"/>
                    </w:rPr>
                    <w:t>2</w:t>
                  </w:r>
                  <w:r>
                    <w:t>，最小单边长度为5.44m。各屏蔽部位及防护情况如下：</w:t>
                  </w:r>
                </w:p>
              </w:tc>
              <w:tc>
                <w:tcPr>
                  <w:tcW w:w="1093" w:type="dxa"/>
                  <w:vMerge w:val="restart"/>
                  <w:tcBorders>
                    <w:tl2br w:val="nil"/>
                    <w:tr2bl w:val="nil"/>
                  </w:tcBorders>
                  <w:vAlign w:val="center"/>
                </w:tcPr>
                <w:p>
                  <w:pPr>
                    <w:pStyle w:val="51"/>
                  </w:pPr>
                  <w:r>
                    <w:rPr>
                      <w:rFonts w:hint="eastAsia"/>
                    </w:rPr>
                    <w:t>新</w:t>
                  </w:r>
                </w:p>
                <w:p>
                  <w:pPr>
                    <w:pStyle w:val="51"/>
                  </w:pPr>
                  <w:r>
                    <w:rPr>
                      <w:rFonts w:hint="eastAsia"/>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49" w:type="dxa"/>
                  <w:vMerge w:val="continue"/>
                  <w:tcBorders>
                    <w:tl2br w:val="nil"/>
                    <w:tr2bl w:val="nil"/>
                  </w:tcBorders>
                  <w:vAlign w:val="center"/>
                </w:tcPr>
                <w:p>
                  <w:pPr>
                    <w:pStyle w:val="51"/>
                    <w:ind w:firstLine="480"/>
                    <w:jc w:val="both"/>
                  </w:pPr>
                </w:p>
              </w:tc>
              <w:tc>
                <w:tcPr>
                  <w:tcW w:w="1836" w:type="dxa"/>
                  <w:vMerge w:val="continue"/>
                  <w:tcBorders>
                    <w:tl2br w:val="nil"/>
                    <w:tr2bl w:val="nil"/>
                  </w:tcBorders>
                  <w:vAlign w:val="center"/>
                </w:tcPr>
                <w:p>
                  <w:pPr>
                    <w:pStyle w:val="51"/>
                    <w:ind w:firstLine="480"/>
                    <w:jc w:val="both"/>
                  </w:pPr>
                </w:p>
              </w:tc>
              <w:tc>
                <w:tcPr>
                  <w:tcW w:w="2028" w:type="dxa"/>
                  <w:tcBorders>
                    <w:tl2br w:val="nil"/>
                    <w:tr2bl w:val="nil"/>
                  </w:tcBorders>
                  <w:vAlign w:val="center"/>
                </w:tcPr>
                <w:p>
                  <w:pPr>
                    <w:pStyle w:val="51"/>
                    <w:ind w:firstLine="480"/>
                    <w:jc w:val="both"/>
                  </w:pPr>
                  <w:r>
                    <w:t>屏蔽部位</w:t>
                  </w:r>
                </w:p>
              </w:tc>
              <w:tc>
                <w:tcPr>
                  <w:tcW w:w="3654" w:type="dxa"/>
                  <w:tcBorders>
                    <w:tl2br w:val="nil"/>
                    <w:tr2bl w:val="nil"/>
                  </w:tcBorders>
                  <w:vAlign w:val="center"/>
                </w:tcPr>
                <w:p>
                  <w:pPr>
                    <w:pStyle w:val="51"/>
                    <w:ind w:firstLine="480"/>
                  </w:pPr>
                  <w:r>
                    <w:t>防护情况</w:t>
                  </w:r>
                </w:p>
              </w:tc>
              <w:tc>
                <w:tcPr>
                  <w:tcW w:w="1093" w:type="dxa"/>
                  <w:vMerge w:val="continue"/>
                  <w:tcBorders>
                    <w:tl2br w:val="nil"/>
                    <w:tr2bl w:val="nil"/>
                  </w:tcBorders>
                  <w:vAlign w:val="center"/>
                </w:tcPr>
                <w:p>
                  <w:pPr>
                    <w:pStyle w:val="51"/>
                    <w:ind w:firstLine="48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449" w:type="dxa"/>
                  <w:vMerge w:val="continue"/>
                  <w:tcBorders>
                    <w:tl2br w:val="nil"/>
                    <w:tr2bl w:val="nil"/>
                  </w:tcBorders>
                  <w:vAlign w:val="center"/>
                </w:tcPr>
                <w:p>
                  <w:pPr>
                    <w:pStyle w:val="51"/>
                    <w:ind w:firstLine="480"/>
                    <w:jc w:val="both"/>
                  </w:pPr>
                </w:p>
              </w:tc>
              <w:tc>
                <w:tcPr>
                  <w:tcW w:w="1836" w:type="dxa"/>
                  <w:vMerge w:val="continue"/>
                  <w:tcBorders>
                    <w:tl2br w:val="nil"/>
                    <w:tr2bl w:val="nil"/>
                  </w:tcBorders>
                  <w:vAlign w:val="center"/>
                </w:tcPr>
                <w:p>
                  <w:pPr>
                    <w:pStyle w:val="51"/>
                    <w:ind w:firstLine="480"/>
                    <w:jc w:val="both"/>
                  </w:pPr>
                </w:p>
              </w:tc>
              <w:tc>
                <w:tcPr>
                  <w:tcW w:w="2028" w:type="dxa"/>
                  <w:tcBorders>
                    <w:tl2br w:val="nil"/>
                    <w:tr2bl w:val="nil"/>
                  </w:tcBorders>
                  <w:vAlign w:val="center"/>
                </w:tcPr>
                <w:p>
                  <w:pPr>
                    <w:pStyle w:val="51"/>
                  </w:pPr>
                  <w:r>
                    <w:rPr>
                      <w:rFonts w:hint="eastAsia"/>
                    </w:rPr>
                    <w:t>东、北</w:t>
                  </w:r>
                  <w:r>
                    <w:t>墙体</w:t>
                  </w:r>
                </w:p>
              </w:tc>
              <w:tc>
                <w:tcPr>
                  <w:tcW w:w="3654" w:type="dxa"/>
                  <w:tcBorders>
                    <w:tl2br w:val="nil"/>
                    <w:tr2bl w:val="nil"/>
                  </w:tcBorders>
                  <w:vAlign w:val="center"/>
                </w:tcPr>
                <w:p>
                  <w:pPr>
                    <w:pStyle w:val="51"/>
                  </w:pPr>
                  <w:r>
                    <w:t>240</w:t>
                  </w:r>
                  <w:r>
                    <w:rPr>
                      <w:rFonts w:hint="eastAsia"/>
                    </w:rPr>
                    <w:t>mm混凝土墙+2mmPb当量铅板</w:t>
                  </w:r>
                </w:p>
              </w:tc>
              <w:tc>
                <w:tcPr>
                  <w:tcW w:w="1093" w:type="dxa"/>
                  <w:vMerge w:val="continue"/>
                  <w:tcBorders>
                    <w:tl2br w:val="nil"/>
                    <w:tr2bl w:val="nil"/>
                  </w:tcBorders>
                  <w:vAlign w:val="center"/>
                </w:tcPr>
                <w:p>
                  <w:pPr>
                    <w:pStyle w:val="51"/>
                    <w:ind w:firstLine="48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449" w:type="dxa"/>
                  <w:vMerge w:val="continue"/>
                  <w:tcBorders>
                    <w:tl2br w:val="nil"/>
                    <w:tr2bl w:val="nil"/>
                  </w:tcBorders>
                  <w:vAlign w:val="center"/>
                </w:tcPr>
                <w:p>
                  <w:pPr>
                    <w:pStyle w:val="51"/>
                    <w:ind w:firstLine="480"/>
                    <w:jc w:val="both"/>
                  </w:pPr>
                </w:p>
              </w:tc>
              <w:tc>
                <w:tcPr>
                  <w:tcW w:w="1836" w:type="dxa"/>
                  <w:vMerge w:val="continue"/>
                  <w:tcBorders>
                    <w:tl2br w:val="nil"/>
                    <w:tr2bl w:val="nil"/>
                  </w:tcBorders>
                  <w:vAlign w:val="center"/>
                </w:tcPr>
                <w:p>
                  <w:pPr>
                    <w:pStyle w:val="51"/>
                    <w:ind w:firstLine="480"/>
                    <w:jc w:val="both"/>
                  </w:pPr>
                </w:p>
              </w:tc>
              <w:tc>
                <w:tcPr>
                  <w:tcW w:w="2028" w:type="dxa"/>
                  <w:tcBorders>
                    <w:tl2br w:val="nil"/>
                    <w:tr2bl w:val="nil"/>
                  </w:tcBorders>
                  <w:vAlign w:val="center"/>
                </w:tcPr>
                <w:p>
                  <w:pPr>
                    <w:pStyle w:val="51"/>
                  </w:pPr>
                  <w:r>
                    <w:rPr>
                      <w:rFonts w:hint="eastAsia"/>
                    </w:rPr>
                    <w:t>南墙</w:t>
                  </w:r>
                </w:p>
              </w:tc>
              <w:tc>
                <w:tcPr>
                  <w:tcW w:w="3654" w:type="dxa"/>
                  <w:tcBorders>
                    <w:tl2br w:val="nil"/>
                    <w:tr2bl w:val="nil"/>
                  </w:tcBorders>
                  <w:vAlign w:val="center"/>
                </w:tcPr>
                <w:p>
                  <w:pPr>
                    <w:pStyle w:val="51"/>
                  </w:pPr>
                  <w:r>
                    <w:rPr>
                      <w:rFonts w:hint="eastAsia"/>
                    </w:rPr>
                    <w:t>240mm实心砖墙+2mmPb当量铅板</w:t>
                  </w:r>
                </w:p>
              </w:tc>
              <w:tc>
                <w:tcPr>
                  <w:tcW w:w="1093" w:type="dxa"/>
                  <w:vMerge w:val="continue"/>
                  <w:tcBorders>
                    <w:tl2br w:val="nil"/>
                    <w:tr2bl w:val="nil"/>
                  </w:tcBorders>
                  <w:vAlign w:val="center"/>
                </w:tcPr>
                <w:p>
                  <w:pPr>
                    <w:pStyle w:val="51"/>
                    <w:ind w:firstLine="48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449" w:type="dxa"/>
                  <w:vMerge w:val="continue"/>
                  <w:tcBorders>
                    <w:tl2br w:val="nil"/>
                    <w:tr2bl w:val="nil"/>
                  </w:tcBorders>
                  <w:vAlign w:val="center"/>
                </w:tcPr>
                <w:p>
                  <w:pPr>
                    <w:pStyle w:val="51"/>
                    <w:ind w:firstLine="480"/>
                    <w:jc w:val="both"/>
                  </w:pPr>
                </w:p>
              </w:tc>
              <w:tc>
                <w:tcPr>
                  <w:tcW w:w="1836" w:type="dxa"/>
                  <w:vMerge w:val="continue"/>
                  <w:tcBorders>
                    <w:tl2br w:val="nil"/>
                    <w:tr2bl w:val="nil"/>
                  </w:tcBorders>
                  <w:vAlign w:val="center"/>
                </w:tcPr>
                <w:p>
                  <w:pPr>
                    <w:pStyle w:val="51"/>
                    <w:ind w:firstLine="480"/>
                    <w:jc w:val="both"/>
                  </w:pPr>
                </w:p>
              </w:tc>
              <w:tc>
                <w:tcPr>
                  <w:tcW w:w="2028" w:type="dxa"/>
                  <w:tcBorders>
                    <w:tl2br w:val="nil"/>
                    <w:tr2bl w:val="nil"/>
                  </w:tcBorders>
                  <w:vAlign w:val="center"/>
                </w:tcPr>
                <w:p>
                  <w:pPr>
                    <w:pStyle w:val="51"/>
                  </w:pPr>
                  <w:r>
                    <w:rPr>
                      <w:rFonts w:hint="eastAsia"/>
                    </w:rPr>
                    <w:t>西墙</w:t>
                  </w:r>
                </w:p>
              </w:tc>
              <w:tc>
                <w:tcPr>
                  <w:tcW w:w="3654" w:type="dxa"/>
                  <w:tcBorders>
                    <w:tl2br w:val="nil"/>
                    <w:tr2bl w:val="nil"/>
                  </w:tcBorders>
                  <w:vAlign w:val="center"/>
                </w:tcPr>
                <w:p>
                  <w:pPr>
                    <w:pStyle w:val="51"/>
                  </w:pPr>
                  <w:r>
                    <w:t>120</w:t>
                  </w:r>
                  <w:r>
                    <w:rPr>
                      <w:rFonts w:hint="eastAsia"/>
                    </w:rPr>
                    <w:t>mm实心砖墙+2mmPb当量铅板+</w:t>
                  </w:r>
                  <w:r>
                    <w:t>2mmPb</w:t>
                  </w:r>
                  <w:r>
                    <w:rPr>
                      <w:rFonts w:hint="eastAsia"/>
                    </w:rPr>
                    <w:t>当量硫酸钡水泥</w:t>
                  </w:r>
                </w:p>
              </w:tc>
              <w:tc>
                <w:tcPr>
                  <w:tcW w:w="1093" w:type="dxa"/>
                  <w:vMerge w:val="continue"/>
                  <w:tcBorders>
                    <w:tl2br w:val="nil"/>
                    <w:tr2bl w:val="nil"/>
                  </w:tcBorders>
                  <w:vAlign w:val="center"/>
                </w:tcPr>
                <w:p>
                  <w:pPr>
                    <w:pStyle w:val="51"/>
                    <w:ind w:firstLine="48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49" w:type="dxa"/>
                  <w:vMerge w:val="continue"/>
                  <w:tcBorders>
                    <w:tl2br w:val="nil"/>
                    <w:tr2bl w:val="nil"/>
                  </w:tcBorders>
                  <w:vAlign w:val="center"/>
                </w:tcPr>
                <w:p>
                  <w:pPr>
                    <w:pStyle w:val="51"/>
                    <w:ind w:firstLine="480"/>
                    <w:jc w:val="both"/>
                  </w:pPr>
                </w:p>
              </w:tc>
              <w:tc>
                <w:tcPr>
                  <w:tcW w:w="1836" w:type="dxa"/>
                  <w:vMerge w:val="continue"/>
                  <w:tcBorders>
                    <w:tl2br w:val="nil"/>
                    <w:tr2bl w:val="nil"/>
                  </w:tcBorders>
                  <w:vAlign w:val="center"/>
                </w:tcPr>
                <w:p>
                  <w:pPr>
                    <w:pStyle w:val="51"/>
                    <w:ind w:firstLine="480"/>
                    <w:jc w:val="both"/>
                  </w:pPr>
                </w:p>
              </w:tc>
              <w:tc>
                <w:tcPr>
                  <w:tcW w:w="2028" w:type="dxa"/>
                  <w:tcBorders>
                    <w:tl2br w:val="nil"/>
                    <w:tr2bl w:val="nil"/>
                  </w:tcBorders>
                  <w:vAlign w:val="center"/>
                </w:tcPr>
                <w:p>
                  <w:pPr>
                    <w:pStyle w:val="51"/>
                    <w:ind w:firstLine="630" w:firstLineChars="300"/>
                    <w:jc w:val="both"/>
                  </w:pPr>
                  <w:r>
                    <w:t>顶部</w:t>
                  </w:r>
                </w:p>
              </w:tc>
              <w:tc>
                <w:tcPr>
                  <w:tcW w:w="3654" w:type="dxa"/>
                  <w:tcBorders>
                    <w:tl2br w:val="nil"/>
                    <w:tr2bl w:val="nil"/>
                  </w:tcBorders>
                  <w:vAlign w:val="center"/>
                </w:tcPr>
                <w:p>
                  <w:pPr>
                    <w:pStyle w:val="51"/>
                    <w:spacing w:line="240" w:lineRule="exact"/>
                    <w:ind w:firstLine="210" w:firstLineChars="100"/>
                    <w:jc w:val="both"/>
                  </w:pPr>
                  <w:r>
                    <w:rPr>
                      <w:rFonts w:hint="eastAsia"/>
                    </w:rPr>
                    <w:t>120mm混凝土+</w:t>
                  </w:r>
                  <w:r>
                    <w:t>2</w:t>
                  </w:r>
                  <w:r>
                    <w:rPr>
                      <w:rFonts w:hint="eastAsia"/>
                    </w:rPr>
                    <w:t>mmPb当量铅板</w:t>
                  </w:r>
                </w:p>
              </w:tc>
              <w:tc>
                <w:tcPr>
                  <w:tcW w:w="1093" w:type="dxa"/>
                  <w:vMerge w:val="continue"/>
                  <w:tcBorders>
                    <w:tl2br w:val="nil"/>
                    <w:tr2bl w:val="nil"/>
                  </w:tcBorders>
                  <w:vAlign w:val="center"/>
                </w:tcPr>
                <w:p>
                  <w:pPr>
                    <w:pStyle w:val="51"/>
                    <w:ind w:firstLine="48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49" w:type="dxa"/>
                  <w:vMerge w:val="continue"/>
                  <w:tcBorders>
                    <w:tl2br w:val="nil"/>
                    <w:tr2bl w:val="nil"/>
                  </w:tcBorders>
                  <w:vAlign w:val="center"/>
                </w:tcPr>
                <w:p>
                  <w:pPr>
                    <w:pStyle w:val="51"/>
                    <w:ind w:firstLine="480"/>
                    <w:jc w:val="both"/>
                  </w:pPr>
                </w:p>
              </w:tc>
              <w:tc>
                <w:tcPr>
                  <w:tcW w:w="1836" w:type="dxa"/>
                  <w:vMerge w:val="continue"/>
                  <w:tcBorders>
                    <w:tl2br w:val="nil"/>
                    <w:tr2bl w:val="nil"/>
                  </w:tcBorders>
                  <w:vAlign w:val="center"/>
                </w:tcPr>
                <w:p>
                  <w:pPr>
                    <w:pStyle w:val="51"/>
                    <w:ind w:firstLine="480"/>
                    <w:jc w:val="both"/>
                  </w:pPr>
                </w:p>
              </w:tc>
              <w:tc>
                <w:tcPr>
                  <w:tcW w:w="2028" w:type="dxa"/>
                  <w:tcBorders>
                    <w:tl2br w:val="nil"/>
                    <w:tr2bl w:val="nil"/>
                  </w:tcBorders>
                  <w:vAlign w:val="center"/>
                </w:tcPr>
                <w:p>
                  <w:pPr>
                    <w:pStyle w:val="51"/>
                    <w:ind w:firstLine="630" w:firstLineChars="300"/>
                    <w:jc w:val="both"/>
                  </w:pPr>
                  <w:r>
                    <w:t>底部</w:t>
                  </w:r>
                </w:p>
              </w:tc>
              <w:tc>
                <w:tcPr>
                  <w:tcW w:w="3654" w:type="dxa"/>
                  <w:tcBorders>
                    <w:tl2br w:val="nil"/>
                    <w:tr2bl w:val="nil"/>
                  </w:tcBorders>
                  <w:vAlign w:val="center"/>
                </w:tcPr>
                <w:p>
                  <w:pPr>
                    <w:pStyle w:val="51"/>
                    <w:spacing w:line="240" w:lineRule="exact"/>
                  </w:pPr>
                  <w:r>
                    <w:rPr>
                      <w:rFonts w:hint="eastAsia"/>
                    </w:rPr>
                    <w:t>120mm混凝土墙+</w:t>
                  </w:r>
                  <w:r>
                    <w:t>2mmPb</w:t>
                  </w:r>
                  <w:r>
                    <w:rPr>
                      <w:rFonts w:hint="eastAsia"/>
                    </w:rPr>
                    <w:t>当量硫酸钡水泥</w:t>
                  </w:r>
                </w:p>
              </w:tc>
              <w:tc>
                <w:tcPr>
                  <w:tcW w:w="1093" w:type="dxa"/>
                  <w:vMerge w:val="continue"/>
                  <w:tcBorders>
                    <w:tl2br w:val="nil"/>
                    <w:tr2bl w:val="nil"/>
                  </w:tcBorders>
                  <w:vAlign w:val="center"/>
                </w:tcPr>
                <w:p>
                  <w:pPr>
                    <w:pStyle w:val="51"/>
                    <w:ind w:firstLine="48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49" w:type="dxa"/>
                  <w:vMerge w:val="continue"/>
                  <w:tcBorders>
                    <w:tl2br w:val="nil"/>
                    <w:tr2bl w:val="nil"/>
                  </w:tcBorders>
                  <w:vAlign w:val="center"/>
                </w:tcPr>
                <w:p>
                  <w:pPr>
                    <w:pStyle w:val="51"/>
                    <w:ind w:firstLine="480"/>
                    <w:jc w:val="both"/>
                  </w:pPr>
                </w:p>
              </w:tc>
              <w:tc>
                <w:tcPr>
                  <w:tcW w:w="1836" w:type="dxa"/>
                  <w:vMerge w:val="continue"/>
                  <w:tcBorders>
                    <w:tl2br w:val="nil"/>
                    <w:tr2bl w:val="nil"/>
                  </w:tcBorders>
                  <w:vAlign w:val="center"/>
                </w:tcPr>
                <w:p>
                  <w:pPr>
                    <w:pStyle w:val="51"/>
                    <w:ind w:firstLine="480"/>
                    <w:jc w:val="both"/>
                  </w:pPr>
                </w:p>
              </w:tc>
              <w:tc>
                <w:tcPr>
                  <w:tcW w:w="2028" w:type="dxa"/>
                  <w:tcBorders>
                    <w:tl2br w:val="nil"/>
                    <w:tr2bl w:val="nil"/>
                  </w:tcBorders>
                  <w:vAlign w:val="center"/>
                </w:tcPr>
                <w:p>
                  <w:pPr>
                    <w:pStyle w:val="51"/>
                    <w:spacing w:line="240" w:lineRule="exact"/>
                  </w:pPr>
                  <w:r>
                    <w:t>患者出入防护门</w:t>
                  </w:r>
                </w:p>
              </w:tc>
              <w:tc>
                <w:tcPr>
                  <w:tcW w:w="3654" w:type="dxa"/>
                  <w:tcBorders>
                    <w:tl2br w:val="nil"/>
                    <w:tr2bl w:val="nil"/>
                  </w:tcBorders>
                  <w:vAlign w:val="center"/>
                </w:tcPr>
                <w:p>
                  <w:pPr>
                    <w:pStyle w:val="51"/>
                    <w:ind w:firstLine="480"/>
                  </w:pPr>
                  <w:r>
                    <w:t>3mmPb</w:t>
                  </w:r>
                  <w:r>
                    <w:rPr>
                      <w:rFonts w:hint="eastAsia"/>
                    </w:rPr>
                    <w:t>当量</w:t>
                  </w:r>
                  <w:r>
                    <w:t>电动推拉门</w:t>
                  </w:r>
                </w:p>
              </w:tc>
              <w:tc>
                <w:tcPr>
                  <w:tcW w:w="1093" w:type="dxa"/>
                  <w:vMerge w:val="continue"/>
                  <w:tcBorders>
                    <w:tl2br w:val="nil"/>
                    <w:tr2bl w:val="nil"/>
                  </w:tcBorders>
                  <w:vAlign w:val="center"/>
                </w:tcPr>
                <w:p>
                  <w:pPr>
                    <w:pStyle w:val="51"/>
                    <w:ind w:firstLine="48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49" w:type="dxa"/>
                  <w:vMerge w:val="continue"/>
                  <w:tcBorders>
                    <w:tl2br w:val="nil"/>
                    <w:tr2bl w:val="nil"/>
                  </w:tcBorders>
                  <w:vAlign w:val="center"/>
                </w:tcPr>
                <w:p>
                  <w:pPr>
                    <w:pStyle w:val="51"/>
                    <w:ind w:firstLine="480"/>
                    <w:jc w:val="both"/>
                  </w:pPr>
                </w:p>
              </w:tc>
              <w:tc>
                <w:tcPr>
                  <w:tcW w:w="1836" w:type="dxa"/>
                  <w:vMerge w:val="continue"/>
                  <w:tcBorders>
                    <w:tl2br w:val="nil"/>
                    <w:tr2bl w:val="nil"/>
                  </w:tcBorders>
                  <w:vAlign w:val="center"/>
                </w:tcPr>
                <w:p>
                  <w:pPr>
                    <w:pStyle w:val="51"/>
                    <w:ind w:firstLine="480"/>
                    <w:jc w:val="both"/>
                  </w:pPr>
                </w:p>
              </w:tc>
              <w:tc>
                <w:tcPr>
                  <w:tcW w:w="2028" w:type="dxa"/>
                  <w:tcBorders>
                    <w:tl2br w:val="nil"/>
                    <w:tr2bl w:val="nil"/>
                  </w:tcBorders>
                  <w:vAlign w:val="center"/>
                </w:tcPr>
                <w:p>
                  <w:pPr>
                    <w:pStyle w:val="51"/>
                    <w:spacing w:line="240" w:lineRule="exact"/>
                  </w:pPr>
                  <w:r>
                    <w:rPr>
                      <w:rFonts w:hint="eastAsia"/>
                    </w:rPr>
                    <w:t>医护出入防护门</w:t>
                  </w:r>
                </w:p>
              </w:tc>
              <w:tc>
                <w:tcPr>
                  <w:tcW w:w="3654" w:type="dxa"/>
                  <w:tcBorders>
                    <w:tl2br w:val="nil"/>
                    <w:tr2bl w:val="nil"/>
                  </w:tcBorders>
                  <w:vAlign w:val="center"/>
                </w:tcPr>
                <w:p>
                  <w:pPr>
                    <w:pStyle w:val="51"/>
                    <w:ind w:firstLine="480"/>
                  </w:pPr>
                  <w:r>
                    <w:t>3mmPb</w:t>
                  </w:r>
                  <w:r>
                    <w:rPr>
                      <w:rFonts w:hint="eastAsia"/>
                    </w:rPr>
                    <w:t>当量脚踏式电动铅门</w:t>
                  </w:r>
                </w:p>
              </w:tc>
              <w:tc>
                <w:tcPr>
                  <w:tcW w:w="1093" w:type="dxa"/>
                  <w:vMerge w:val="continue"/>
                  <w:tcBorders>
                    <w:tl2br w:val="nil"/>
                    <w:tr2bl w:val="nil"/>
                  </w:tcBorders>
                  <w:vAlign w:val="center"/>
                </w:tcPr>
                <w:p>
                  <w:pPr>
                    <w:pStyle w:val="51"/>
                    <w:ind w:firstLine="48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49" w:type="dxa"/>
                  <w:vMerge w:val="continue"/>
                  <w:tcBorders>
                    <w:tl2br w:val="nil"/>
                    <w:tr2bl w:val="nil"/>
                  </w:tcBorders>
                  <w:vAlign w:val="center"/>
                </w:tcPr>
                <w:p>
                  <w:pPr>
                    <w:pStyle w:val="51"/>
                    <w:ind w:firstLine="480"/>
                    <w:jc w:val="both"/>
                  </w:pPr>
                </w:p>
              </w:tc>
              <w:tc>
                <w:tcPr>
                  <w:tcW w:w="1836" w:type="dxa"/>
                  <w:vMerge w:val="continue"/>
                  <w:tcBorders>
                    <w:tl2br w:val="nil"/>
                    <w:tr2bl w:val="nil"/>
                  </w:tcBorders>
                  <w:vAlign w:val="center"/>
                </w:tcPr>
                <w:p>
                  <w:pPr>
                    <w:pStyle w:val="51"/>
                    <w:ind w:firstLine="480"/>
                    <w:jc w:val="both"/>
                  </w:pPr>
                </w:p>
              </w:tc>
              <w:tc>
                <w:tcPr>
                  <w:tcW w:w="2028" w:type="dxa"/>
                  <w:tcBorders>
                    <w:tl2br w:val="nil"/>
                    <w:tr2bl w:val="nil"/>
                  </w:tcBorders>
                  <w:vAlign w:val="center"/>
                </w:tcPr>
                <w:p>
                  <w:pPr>
                    <w:pStyle w:val="51"/>
                    <w:spacing w:line="240" w:lineRule="exact"/>
                  </w:pPr>
                  <w:r>
                    <w:rPr>
                      <w:rFonts w:hint="eastAsia"/>
                    </w:rPr>
                    <w:t>应急通道门</w:t>
                  </w:r>
                </w:p>
              </w:tc>
              <w:tc>
                <w:tcPr>
                  <w:tcW w:w="3654" w:type="dxa"/>
                  <w:tcBorders>
                    <w:tl2br w:val="nil"/>
                    <w:tr2bl w:val="nil"/>
                  </w:tcBorders>
                  <w:vAlign w:val="center"/>
                </w:tcPr>
                <w:p>
                  <w:pPr>
                    <w:pStyle w:val="51"/>
                    <w:ind w:firstLine="480"/>
                  </w:pPr>
                  <w:r>
                    <w:rPr>
                      <w:rFonts w:hint="eastAsia"/>
                    </w:rPr>
                    <w:t>3mmPb当量手动平开门</w:t>
                  </w:r>
                </w:p>
              </w:tc>
              <w:tc>
                <w:tcPr>
                  <w:tcW w:w="1093" w:type="dxa"/>
                  <w:vMerge w:val="continue"/>
                  <w:tcBorders>
                    <w:tl2br w:val="nil"/>
                    <w:tr2bl w:val="nil"/>
                  </w:tcBorders>
                  <w:vAlign w:val="center"/>
                </w:tcPr>
                <w:p>
                  <w:pPr>
                    <w:pStyle w:val="51"/>
                    <w:ind w:firstLine="48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49" w:type="dxa"/>
                  <w:vMerge w:val="continue"/>
                  <w:tcBorders>
                    <w:tl2br w:val="nil"/>
                    <w:tr2bl w:val="nil"/>
                  </w:tcBorders>
                  <w:vAlign w:val="center"/>
                </w:tcPr>
                <w:p>
                  <w:pPr>
                    <w:pStyle w:val="51"/>
                    <w:ind w:firstLine="480"/>
                    <w:jc w:val="both"/>
                  </w:pPr>
                </w:p>
              </w:tc>
              <w:tc>
                <w:tcPr>
                  <w:tcW w:w="1836" w:type="dxa"/>
                  <w:vMerge w:val="continue"/>
                  <w:tcBorders>
                    <w:tl2br w:val="nil"/>
                    <w:tr2bl w:val="nil"/>
                  </w:tcBorders>
                  <w:vAlign w:val="center"/>
                </w:tcPr>
                <w:p>
                  <w:pPr>
                    <w:pStyle w:val="51"/>
                    <w:ind w:firstLine="480"/>
                    <w:jc w:val="both"/>
                  </w:pPr>
                </w:p>
              </w:tc>
              <w:tc>
                <w:tcPr>
                  <w:tcW w:w="2028" w:type="dxa"/>
                  <w:tcBorders>
                    <w:tl2br w:val="nil"/>
                    <w:tr2bl w:val="nil"/>
                  </w:tcBorders>
                  <w:vAlign w:val="center"/>
                </w:tcPr>
                <w:p>
                  <w:pPr>
                    <w:pStyle w:val="51"/>
                    <w:ind w:firstLine="420" w:firstLineChars="200"/>
                    <w:jc w:val="both"/>
                  </w:pPr>
                  <w:r>
                    <w:t>污物防护门</w:t>
                  </w:r>
                </w:p>
              </w:tc>
              <w:tc>
                <w:tcPr>
                  <w:tcW w:w="3654" w:type="dxa"/>
                  <w:tcBorders>
                    <w:tl2br w:val="nil"/>
                    <w:tr2bl w:val="nil"/>
                  </w:tcBorders>
                  <w:vAlign w:val="center"/>
                </w:tcPr>
                <w:p>
                  <w:pPr>
                    <w:pStyle w:val="51"/>
                    <w:ind w:firstLine="480"/>
                  </w:pPr>
                  <w:r>
                    <w:t>3mmPb</w:t>
                  </w:r>
                  <w:r>
                    <w:rPr>
                      <w:rFonts w:hint="eastAsia"/>
                    </w:rPr>
                    <w:t>当量</w:t>
                  </w:r>
                  <w:r>
                    <w:t>手动平开门</w:t>
                  </w:r>
                </w:p>
              </w:tc>
              <w:tc>
                <w:tcPr>
                  <w:tcW w:w="1093" w:type="dxa"/>
                  <w:vMerge w:val="continue"/>
                  <w:tcBorders>
                    <w:tl2br w:val="nil"/>
                    <w:tr2bl w:val="nil"/>
                  </w:tcBorders>
                  <w:vAlign w:val="center"/>
                </w:tcPr>
                <w:p>
                  <w:pPr>
                    <w:pStyle w:val="51"/>
                    <w:ind w:firstLine="48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449" w:type="dxa"/>
                  <w:vMerge w:val="continue"/>
                  <w:tcBorders>
                    <w:tl2br w:val="nil"/>
                    <w:tr2bl w:val="nil"/>
                  </w:tcBorders>
                  <w:vAlign w:val="center"/>
                </w:tcPr>
                <w:p>
                  <w:pPr>
                    <w:pStyle w:val="51"/>
                    <w:ind w:firstLine="480"/>
                    <w:jc w:val="both"/>
                  </w:pPr>
                </w:p>
              </w:tc>
              <w:tc>
                <w:tcPr>
                  <w:tcW w:w="1836" w:type="dxa"/>
                  <w:vMerge w:val="continue"/>
                  <w:tcBorders>
                    <w:tl2br w:val="nil"/>
                    <w:tr2bl w:val="nil"/>
                  </w:tcBorders>
                  <w:vAlign w:val="center"/>
                </w:tcPr>
                <w:p>
                  <w:pPr>
                    <w:pStyle w:val="51"/>
                    <w:ind w:firstLine="480"/>
                    <w:jc w:val="both"/>
                  </w:pPr>
                </w:p>
              </w:tc>
              <w:tc>
                <w:tcPr>
                  <w:tcW w:w="2028" w:type="dxa"/>
                  <w:tcBorders>
                    <w:tl2br w:val="nil"/>
                    <w:tr2bl w:val="nil"/>
                  </w:tcBorders>
                  <w:vAlign w:val="center"/>
                </w:tcPr>
                <w:p>
                  <w:pPr>
                    <w:pStyle w:val="51"/>
                    <w:ind w:firstLine="480"/>
                    <w:jc w:val="both"/>
                  </w:pPr>
                  <w:r>
                    <w:t>观察窗</w:t>
                  </w:r>
                </w:p>
              </w:tc>
              <w:tc>
                <w:tcPr>
                  <w:tcW w:w="3654" w:type="dxa"/>
                  <w:tcBorders>
                    <w:tl2br w:val="nil"/>
                    <w:tr2bl w:val="nil"/>
                  </w:tcBorders>
                  <w:vAlign w:val="center"/>
                </w:tcPr>
                <w:p>
                  <w:pPr>
                    <w:pStyle w:val="51"/>
                    <w:ind w:firstLine="480"/>
                  </w:pPr>
                  <w:r>
                    <w:t>3mmPb</w:t>
                  </w:r>
                  <w:r>
                    <w:rPr>
                      <w:rFonts w:hint="eastAsia"/>
                    </w:rPr>
                    <w:t>当量</w:t>
                  </w:r>
                  <w:r>
                    <w:t>铅玻璃</w:t>
                  </w:r>
                </w:p>
              </w:tc>
              <w:tc>
                <w:tcPr>
                  <w:tcW w:w="1093" w:type="dxa"/>
                  <w:vMerge w:val="continue"/>
                  <w:tcBorders>
                    <w:tl2br w:val="nil"/>
                    <w:tr2bl w:val="nil"/>
                  </w:tcBorders>
                  <w:vAlign w:val="center"/>
                </w:tcPr>
                <w:p>
                  <w:pPr>
                    <w:pStyle w:val="51"/>
                    <w:ind w:firstLine="48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449" w:type="dxa"/>
                  <w:vMerge w:val="restart"/>
                  <w:tcBorders>
                    <w:tl2br w:val="nil"/>
                    <w:tr2bl w:val="nil"/>
                  </w:tcBorders>
                  <w:vAlign w:val="center"/>
                </w:tcPr>
                <w:p>
                  <w:pPr>
                    <w:pStyle w:val="51"/>
                    <w:jc w:val="both"/>
                  </w:pPr>
                  <w:r>
                    <w:rPr>
                      <w:rFonts w:hint="eastAsia"/>
                    </w:rPr>
                    <w:t>辅</w:t>
                  </w:r>
                </w:p>
                <w:p>
                  <w:pPr>
                    <w:pStyle w:val="51"/>
                    <w:jc w:val="both"/>
                  </w:pPr>
                  <w:r>
                    <w:rPr>
                      <w:rFonts w:hint="eastAsia"/>
                    </w:rPr>
                    <w:t>助</w:t>
                  </w:r>
                </w:p>
                <w:p>
                  <w:pPr>
                    <w:pStyle w:val="51"/>
                    <w:jc w:val="both"/>
                  </w:pPr>
                  <w:r>
                    <w:rPr>
                      <w:rFonts w:hint="eastAsia"/>
                    </w:rPr>
                    <w:t>工</w:t>
                  </w:r>
                </w:p>
                <w:p>
                  <w:pPr>
                    <w:pStyle w:val="2"/>
                    <w:ind w:firstLine="0" w:firstLineChars="0"/>
                    <w:rPr>
                      <w:rFonts w:ascii="宋体" w:hAnsi="宋体" w:eastAsia="宋体"/>
                      <w:sz w:val="21"/>
                      <w:szCs w:val="21"/>
                    </w:rPr>
                  </w:pPr>
                  <w:r>
                    <w:rPr>
                      <w:rFonts w:hint="eastAsia" w:ascii="宋体" w:hAnsi="宋体" w:eastAsia="宋体"/>
                      <w:sz w:val="21"/>
                      <w:szCs w:val="21"/>
                    </w:rPr>
                    <w:t>程</w:t>
                  </w:r>
                </w:p>
              </w:tc>
              <w:tc>
                <w:tcPr>
                  <w:tcW w:w="1836" w:type="dxa"/>
                  <w:tcBorders>
                    <w:tl2br w:val="nil"/>
                    <w:tr2bl w:val="nil"/>
                  </w:tcBorders>
                  <w:vAlign w:val="center"/>
                </w:tcPr>
                <w:p>
                  <w:pPr>
                    <w:pStyle w:val="51"/>
                    <w:ind w:firstLine="480"/>
                    <w:jc w:val="both"/>
                  </w:pPr>
                  <w:r>
                    <w:rPr>
                      <w:rFonts w:hint="eastAsia"/>
                    </w:rPr>
                    <w:t>缓冲间</w:t>
                  </w:r>
                </w:p>
              </w:tc>
              <w:tc>
                <w:tcPr>
                  <w:tcW w:w="5682" w:type="dxa"/>
                  <w:gridSpan w:val="2"/>
                  <w:tcBorders>
                    <w:tl2br w:val="nil"/>
                    <w:tr2bl w:val="nil"/>
                  </w:tcBorders>
                  <w:vAlign w:val="center"/>
                </w:tcPr>
                <w:p>
                  <w:pPr>
                    <w:pStyle w:val="51"/>
                    <w:ind w:firstLine="480"/>
                  </w:pPr>
                  <w:r>
                    <w:t>位于DSA</w:t>
                  </w:r>
                  <w:r>
                    <w:rPr>
                      <w:rFonts w:hint="eastAsia"/>
                    </w:rPr>
                    <w:t>手术室西侧</w:t>
                  </w:r>
                  <w:r>
                    <w:t>，建筑面积5.38m</w:t>
                  </w:r>
                  <w:r>
                    <w:rPr>
                      <w:vertAlign w:val="superscript"/>
                    </w:rPr>
                    <w:t>2</w:t>
                  </w:r>
                </w:p>
              </w:tc>
              <w:tc>
                <w:tcPr>
                  <w:tcW w:w="1093" w:type="dxa"/>
                  <w:vMerge w:val="restart"/>
                  <w:tcBorders>
                    <w:tl2br w:val="nil"/>
                    <w:tr2bl w:val="nil"/>
                  </w:tcBorders>
                  <w:vAlign w:val="center"/>
                </w:tcPr>
                <w:p>
                  <w:pPr>
                    <w:pStyle w:val="51"/>
                  </w:pPr>
                  <w:r>
                    <w:rPr>
                      <w:rFonts w:hint="eastAsia"/>
                    </w:rPr>
                    <w:t>新</w:t>
                  </w:r>
                </w:p>
                <w:p>
                  <w:pPr>
                    <w:pStyle w:val="51"/>
                  </w:pPr>
                  <w:r>
                    <w:rPr>
                      <w:rFonts w:hint="eastAsia"/>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9" w:type="dxa"/>
                  <w:vMerge w:val="continue"/>
                  <w:tcBorders>
                    <w:tl2br w:val="nil"/>
                    <w:tr2bl w:val="nil"/>
                  </w:tcBorders>
                  <w:vAlign w:val="center"/>
                </w:tcPr>
                <w:p>
                  <w:pPr>
                    <w:pStyle w:val="51"/>
                    <w:ind w:firstLine="480"/>
                  </w:pPr>
                </w:p>
              </w:tc>
              <w:tc>
                <w:tcPr>
                  <w:tcW w:w="1836" w:type="dxa"/>
                  <w:tcBorders>
                    <w:tl2br w:val="nil"/>
                    <w:tr2bl w:val="nil"/>
                  </w:tcBorders>
                  <w:vAlign w:val="center"/>
                </w:tcPr>
                <w:p>
                  <w:pPr>
                    <w:pStyle w:val="51"/>
                  </w:pPr>
                  <w:r>
                    <w:rPr>
                      <w:rFonts w:hint="eastAsia"/>
                    </w:rPr>
                    <w:t>污物间</w:t>
                  </w:r>
                </w:p>
              </w:tc>
              <w:tc>
                <w:tcPr>
                  <w:tcW w:w="5682" w:type="dxa"/>
                  <w:gridSpan w:val="2"/>
                  <w:tcBorders>
                    <w:tl2br w:val="nil"/>
                    <w:tr2bl w:val="nil"/>
                  </w:tcBorders>
                  <w:vAlign w:val="center"/>
                </w:tcPr>
                <w:p>
                  <w:pPr>
                    <w:pStyle w:val="51"/>
                    <w:ind w:firstLine="480"/>
                    <w:rPr>
                      <w:szCs w:val="21"/>
                    </w:rPr>
                  </w:pPr>
                  <w:r>
                    <w:rPr>
                      <w:rFonts w:hint="eastAsia"/>
                    </w:rPr>
                    <w:t>位于</w:t>
                  </w:r>
                  <w:r>
                    <w:t>DSA</w:t>
                  </w:r>
                  <w:r>
                    <w:rPr>
                      <w:rFonts w:hint="eastAsia"/>
                    </w:rPr>
                    <w:t>手术室西侧，建筑面积</w:t>
                  </w:r>
                  <w:r>
                    <w:t>3.86</w:t>
                  </w:r>
                  <w:r>
                    <w:rPr>
                      <w:rFonts w:hint="eastAsia"/>
                    </w:rPr>
                    <w:t>m</w:t>
                  </w:r>
                  <w:r>
                    <w:rPr>
                      <w:rFonts w:hint="eastAsia"/>
                      <w:vertAlign w:val="superscript"/>
                    </w:rPr>
                    <w:t>2</w:t>
                  </w:r>
                </w:p>
              </w:tc>
              <w:tc>
                <w:tcPr>
                  <w:tcW w:w="1093" w:type="dxa"/>
                  <w:vMerge w:val="continue"/>
                  <w:tcBorders>
                    <w:tl2br w:val="nil"/>
                    <w:tr2bl w:val="nil"/>
                  </w:tcBorders>
                  <w:vAlign w:val="center"/>
                </w:tcPr>
                <w:p>
                  <w:pPr>
                    <w:pStyle w:val="51"/>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49" w:type="dxa"/>
                  <w:vMerge w:val="continue"/>
                  <w:tcBorders>
                    <w:tl2br w:val="nil"/>
                    <w:tr2bl w:val="nil"/>
                  </w:tcBorders>
                  <w:vAlign w:val="center"/>
                </w:tcPr>
                <w:p>
                  <w:pPr>
                    <w:pStyle w:val="51"/>
                    <w:ind w:firstLine="480"/>
                  </w:pPr>
                </w:p>
              </w:tc>
              <w:tc>
                <w:tcPr>
                  <w:tcW w:w="1836" w:type="dxa"/>
                  <w:tcBorders>
                    <w:tl2br w:val="nil"/>
                    <w:tr2bl w:val="nil"/>
                  </w:tcBorders>
                  <w:vAlign w:val="center"/>
                </w:tcPr>
                <w:p>
                  <w:pPr>
                    <w:pStyle w:val="51"/>
                    <w:ind w:firstLine="480"/>
                    <w:jc w:val="both"/>
                  </w:pPr>
                  <w:r>
                    <w:rPr>
                      <w:rFonts w:hint="eastAsia"/>
                      <w:szCs w:val="21"/>
                    </w:rPr>
                    <w:t>操作间</w:t>
                  </w:r>
                </w:p>
              </w:tc>
              <w:tc>
                <w:tcPr>
                  <w:tcW w:w="5682" w:type="dxa"/>
                  <w:gridSpan w:val="2"/>
                  <w:tcBorders>
                    <w:tl2br w:val="nil"/>
                    <w:tr2bl w:val="nil"/>
                  </w:tcBorders>
                  <w:vAlign w:val="center"/>
                </w:tcPr>
                <w:p>
                  <w:pPr>
                    <w:pStyle w:val="51"/>
                    <w:ind w:firstLine="420" w:firstLineChars="200"/>
                    <w:jc w:val="both"/>
                    <w:rPr>
                      <w:szCs w:val="21"/>
                    </w:rPr>
                  </w:pPr>
                  <w:r>
                    <w:rPr>
                      <w:rFonts w:hint="eastAsia"/>
                    </w:rPr>
                    <w:t>位于DSA手术室北侧，</w:t>
                  </w:r>
                  <w:r>
                    <w:t>建筑面积9.31m</w:t>
                  </w:r>
                  <w:r>
                    <w:rPr>
                      <w:vertAlign w:val="superscript"/>
                    </w:rPr>
                    <w:t>2</w:t>
                  </w:r>
                </w:p>
              </w:tc>
              <w:tc>
                <w:tcPr>
                  <w:tcW w:w="1093" w:type="dxa"/>
                  <w:vMerge w:val="continue"/>
                  <w:tcBorders>
                    <w:tl2br w:val="nil"/>
                    <w:tr2bl w:val="nil"/>
                  </w:tcBorders>
                  <w:vAlign w:val="center"/>
                </w:tcPr>
                <w:p>
                  <w:pPr>
                    <w:pStyle w:val="51"/>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9" w:type="dxa"/>
                  <w:vMerge w:val="continue"/>
                  <w:tcBorders>
                    <w:tl2br w:val="nil"/>
                    <w:tr2bl w:val="nil"/>
                  </w:tcBorders>
                  <w:vAlign w:val="center"/>
                </w:tcPr>
                <w:p>
                  <w:pPr>
                    <w:pStyle w:val="51"/>
                    <w:ind w:firstLine="480"/>
                  </w:pPr>
                </w:p>
              </w:tc>
              <w:tc>
                <w:tcPr>
                  <w:tcW w:w="1836" w:type="dxa"/>
                  <w:tcBorders>
                    <w:tl2br w:val="nil"/>
                    <w:tr2bl w:val="nil"/>
                  </w:tcBorders>
                  <w:vAlign w:val="center"/>
                </w:tcPr>
                <w:p>
                  <w:pPr>
                    <w:pStyle w:val="51"/>
                    <w:ind w:firstLine="480"/>
                    <w:jc w:val="both"/>
                  </w:pPr>
                  <w:r>
                    <w:rPr>
                      <w:rFonts w:hint="eastAsia"/>
                    </w:rPr>
                    <w:t>设备间</w:t>
                  </w:r>
                </w:p>
              </w:tc>
              <w:tc>
                <w:tcPr>
                  <w:tcW w:w="5682" w:type="dxa"/>
                  <w:gridSpan w:val="2"/>
                  <w:tcBorders>
                    <w:tl2br w:val="nil"/>
                    <w:tr2bl w:val="nil"/>
                  </w:tcBorders>
                  <w:vAlign w:val="center"/>
                </w:tcPr>
                <w:p>
                  <w:pPr>
                    <w:pStyle w:val="51"/>
                    <w:spacing w:line="240" w:lineRule="exact"/>
                    <w:ind w:firstLine="420"/>
                    <w:jc w:val="both"/>
                    <w:rPr>
                      <w:szCs w:val="21"/>
                    </w:rPr>
                  </w:pPr>
                  <w:r>
                    <w:rPr>
                      <w:rFonts w:hint="eastAsia"/>
                    </w:rPr>
                    <w:t>位于DSA手术室东侧，</w:t>
                  </w:r>
                  <w:r>
                    <w:t>建筑面积9.92m</w:t>
                  </w:r>
                  <w:r>
                    <w:rPr>
                      <w:vertAlign w:val="superscript"/>
                    </w:rPr>
                    <w:t>2</w:t>
                  </w:r>
                </w:p>
              </w:tc>
              <w:tc>
                <w:tcPr>
                  <w:tcW w:w="1093" w:type="dxa"/>
                  <w:vMerge w:val="continue"/>
                  <w:tcBorders>
                    <w:tl2br w:val="nil"/>
                    <w:tr2bl w:val="nil"/>
                  </w:tcBorders>
                  <w:vAlign w:val="center"/>
                </w:tcPr>
                <w:p>
                  <w:pPr>
                    <w:pStyle w:val="51"/>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49" w:type="dxa"/>
                  <w:vMerge w:val="continue"/>
                  <w:tcBorders>
                    <w:tl2br w:val="nil"/>
                    <w:tr2bl w:val="nil"/>
                  </w:tcBorders>
                  <w:vAlign w:val="center"/>
                </w:tcPr>
                <w:p>
                  <w:pPr>
                    <w:pStyle w:val="51"/>
                    <w:ind w:firstLine="480"/>
                  </w:pPr>
                </w:p>
              </w:tc>
              <w:tc>
                <w:tcPr>
                  <w:tcW w:w="1836" w:type="dxa"/>
                  <w:tcBorders>
                    <w:tl2br w:val="nil"/>
                    <w:tr2bl w:val="nil"/>
                  </w:tcBorders>
                  <w:vAlign w:val="center"/>
                </w:tcPr>
                <w:p>
                  <w:pPr>
                    <w:pStyle w:val="51"/>
                    <w:ind w:firstLine="480"/>
                    <w:jc w:val="both"/>
                  </w:pPr>
                  <w:r>
                    <w:rPr>
                      <w:rFonts w:hint="eastAsia"/>
                    </w:rPr>
                    <w:t>医护办、库房、男女更衣间、男女卫生间、换鞋处</w:t>
                  </w:r>
                </w:p>
              </w:tc>
              <w:tc>
                <w:tcPr>
                  <w:tcW w:w="5682" w:type="dxa"/>
                  <w:gridSpan w:val="2"/>
                  <w:tcBorders>
                    <w:tl2br w:val="nil"/>
                    <w:tr2bl w:val="nil"/>
                  </w:tcBorders>
                  <w:vAlign w:val="center"/>
                </w:tcPr>
                <w:p>
                  <w:pPr>
                    <w:ind w:firstLine="420" w:firstLineChars="200"/>
                    <w:rPr>
                      <w:sz w:val="21"/>
                      <w:szCs w:val="21"/>
                    </w:rPr>
                  </w:pPr>
                  <w:r>
                    <w:rPr>
                      <w:rFonts w:hint="eastAsia"/>
                      <w:sz w:val="21"/>
                      <w:szCs w:val="21"/>
                    </w:rPr>
                    <w:t>位于DSA手术室北侧，</w:t>
                  </w:r>
                  <w:r>
                    <w:rPr>
                      <w:sz w:val="21"/>
                      <w:szCs w:val="21"/>
                    </w:rPr>
                    <w:t>建筑面积38.65m</w:t>
                  </w:r>
                  <w:r>
                    <w:rPr>
                      <w:sz w:val="21"/>
                      <w:szCs w:val="21"/>
                      <w:vertAlign w:val="superscript"/>
                    </w:rPr>
                    <w:t>2</w:t>
                  </w:r>
                </w:p>
              </w:tc>
              <w:tc>
                <w:tcPr>
                  <w:tcW w:w="1093" w:type="dxa"/>
                  <w:vMerge w:val="continue"/>
                  <w:tcBorders>
                    <w:tl2br w:val="nil"/>
                    <w:tr2bl w:val="nil"/>
                  </w:tcBorders>
                  <w:vAlign w:val="center"/>
                </w:tcPr>
                <w:p>
                  <w:pPr>
                    <w:pStyle w:val="51"/>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449" w:type="dxa"/>
                  <w:vMerge w:val="restart"/>
                  <w:tcBorders>
                    <w:tl2br w:val="nil"/>
                    <w:tr2bl w:val="nil"/>
                  </w:tcBorders>
                  <w:vAlign w:val="center"/>
                </w:tcPr>
                <w:p>
                  <w:pPr>
                    <w:rPr>
                      <w:sz w:val="21"/>
                    </w:rPr>
                  </w:pPr>
                  <w:r>
                    <w:rPr>
                      <w:sz w:val="21"/>
                    </w:rPr>
                    <w:t>公</w:t>
                  </w:r>
                </w:p>
                <w:p>
                  <w:pPr>
                    <w:rPr>
                      <w:sz w:val="21"/>
                    </w:rPr>
                  </w:pPr>
                  <w:r>
                    <w:rPr>
                      <w:sz w:val="21"/>
                    </w:rPr>
                    <w:t>用</w:t>
                  </w:r>
                </w:p>
                <w:p>
                  <w:pPr>
                    <w:rPr>
                      <w:rFonts w:ascii="宋体" w:hAnsi="宋体"/>
                      <w:sz w:val="21"/>
                      <w:szCs w:val="21"/>
                    </w:rPr>
                  </w:pPr>
                  <w:r>
                    <w:rPr>
                      <w:rFonts w:ascii="宋体" w:hAnsi="宋体"/>
                      <w:sz w:val="21"/>
                      <w:szCs w:val="21"/>
                    </w:rPr>
                    <w:t>工</w:t>
                  </w:r>
                </w:p>
                <w:p>
                  <w:pPr>
                    <w:rPr>
                      <w:sz w:val="21"/>
                      <w:szCs w:val="21"/>
                    </w:rPr>
                  </w:pPr>
                  <w:r>
                    <w:rPr>
                      <w:sz w:val="21"/>
                      <w:szCs w:val="21"/>
                    </w:rPr>
                    <w:t>程</w:t>
                  </w:r>
                </w:p>
                <w:p>
                  <w:pPr>
                    <w:pStyle w:val="51"/>
                    <w:ind w:firstLine="480"/>
                  </w:pPr>
                </w:p>
              </w:tc>
              <w:tc>
                <w:tcPr>
                  <w:tcW w:w="1836" w:type="dxa"/>
                  <w:tcBorders>
                    <w:tl2br w:val="nil"/>
                    <w:tr2bl w:val="nil"/>
                  </w:tcBorders>
                  <w:vAlign w:val="center"/>
                </w:tcPr>
                <w:p>
                  <w:pPr>
                    <w:pStyle w:val="51"/>
                    <w:ind w:firstLine="480"/>
                    <w:jc w:val="both"/>
                  </w:pPr>
                  <w:r>
                    <w:t>给水工程</w:t>
                  </w:r>
                </w:p>
              </w:tc>
              <w:tc>
                <w:tcPr>
                  <w:tcW w:w="5682" w:type="dxa"/>
                  <w:gridSpan w:val="2"/>
                  <w:tcBorders>
                    <w:tl2br w:val="nil"/>
                    <w:tr2bl w:val="nil"/>
                  </w:tcBorders>
                  <w:vAlign w:val="center"/>
                </w:tcPr>
                <w:p>
                  <w:pPr>
                    <w:pStyle w:val="51"/>
                    <w:ind w:firstLine="480"/>
                  </w:pPr>
                  <w:r>
                    <w:t>由院内主供水管网接入</w:t>
                  </w:r>
                </w:p>
              </w:tc>
              <w:tc>
                <w:tcPr>
                  <w:tcW w:w="1093" w:type="dxa"/>
                  <w:vMerge w:val="restart"/>
                  <w:tcBorders>
                    <w:tl2br w:val="nil"/>
                    <w:tr2bl w:val="nil"/>
                  </w:tcBorders>
                  <w:vAlign w:val="center"/>
                </w:tcPr>
                <w:p>
                  <w:pPr>
                    <w:pStyle w:val="51"/>
                    <w:jc w:val="both"/>
                  </w:pPr>
                  <w: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449" w:type="dxa"/>
                  <w:vMerge w:val="continue"/>
                  <w:tcBorders>
                    <w:tl2br w:val="nil"/>
                    <w:tr2bl w:val="nil"/>
                  </w:tcBorders>
                  <w:vAlign w:val="center"/>
                </w:tcPr>
                <w:p>
                  <w:pPr>
                    <w:pStyle w:val="51"/>
                    <w:ind w:firstLine="480"/>
                  </w:pPr>
                </w:p>
              </w:tc>
              <w:tc>
                <w:tcPr>
                  <w:tcW w:w="1836" w:type="dxa"/>
                  <w:tcBorders>
                    <w:tl2br w:val="nil"/>
                    <w:tr2bl w:val="nil"/>
                  </w:tcBorders>
                  <w:vAlign w:val="center"/>
                </w:tcPr>
                <w:p>
                  <w:pPr>
                    <w:pStyle w:val="51"/>
                    <w:ind w:firstLine="480"/>
                    <w:jc w:val="both"/>
                  </w:pPr>
                  <w:r>
                    <w:t>排水工程</w:t>
                  </w:r>
                </w:p>
              </w:tc>
              <w:tc>
                <w:tcPr>
                  <w:tcW w:w="5682" w:type="dxa"/>
                  <w:gridSpan w:val="2"/>
                  <w:tcBorders>
                    <w:tl2br w:val="nil"/>
                    <w:tr2bl w:val="nil"/>
                  </w:tcBorders>
                  <w:vAlign w:val="center"/>
                </w:tcPr>
                <w:p>
                  <w:pPr>
                    <w:pStyle w:val="51"/>
                    <w:ind w:firstLine="480"/>
                  </w:pPr>
                  <w:r>
                    <w:t>排水接入院内主排水管网</w:t>
                  </w:r>
                </w:p>
              </w:tc>
              <w:tc>
                <w:tcPr>
                  <w:tcW w:w="1093" w:type="dxa"/>
                  <w:vMerge w:val="continue"/>
                  <w:tcBorders>
                    <w:tl2br w:val="nil"/>
                    <w:tr2bl w:val="nil"/>
                  </w:tcBorders>
                  <w:vAlign w:val="center"/>
                </w:tcPr>
                <w:p>
                  <w:pPr>
                    <w:pStyle w:val="51"/>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49" w:type="dxa"/>
                  <w:vMerge w:val="continue"/>
                  <w:tcBorders>
                    <w:tl2br w:val="nil"/>
                    <w:tr2bl w:val="nil"/>
                  </w:tcBorders>
                  <w:vAlign w:val="center"/>
                </w:tcPr>
                <w:p>
                  <w:pPr>
                    <w:pStyle w:val="51"/>
                    <w:ind w:firstLine="480"/>
                  </w:pPr>
                </w:p>
              </w:tc>
              <w:tc>
                <w:tcPr>
                  <w:tcW w:w="1836" w:type="dxa"/>
                  <w:tcBorders>
                    <w:tl2br w:val="nil"/>
                    <w:tr2bl w:val="nil"/>
                  </w:tcBorders>
                  <w:vAlign w:val="center"/>
                </w:tcPr>
                <w:p>
                  <w:pPr>
                    <w:pStyle w:val="51"/>
                    <w:ind w:firstLine="480"/>
                    <w:jc w:val="both"/>
                  </w:pPr>
                  <w:r>
                    <w:t>配供电工程</w:t>
                  </w:r>
                </w:p>
              </w:tc>
              <w:tc>
                <w:tcPr>
                  <w:tcW w:w="5682" w:type="dxa"/>
                  <w:gridSpan w:val="2"/>
                  <w:tcBorders>
                    <w:tl2br w:val="nil"/>
                    <w:tr2bl w:val="nil"/>
                  </w:tcBorders>
                  <w:vAlign w:val="center"/>
                </w:tcPr>
                <w:p>
                  <w:pPr>
                    <w:pStyle w:val="51"/>
                    <w:ind w:firstLine="480"/>
                  </w:pPr>
                  <w:r>
                    <w:rPr>
                      <w:lang w:eastAsia="en-US"/>
                    </w:rPr>
                    <w:t>由配电室接入电源</w:t>
                  </w:r>
                </w:p>
              </w:tc>
              <w:tc>
                <w:tcPr>
                  <w:tcW w:w="1093" w:type="dxa"/>
                  <w:vMerge w:val="continue"/>
                  <w:tcBorders>
                    <w:tl2br w:val="nil"/>
                    <w:tr2bl w:val="nil"/>
                  </w:tcBorders>
                  <w:vAlign w:val="center"/>
                </w:tcPr>
                <w:p>
                  <w:pPr>
                    <w:pStyle w:val="51"/>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49" w:type="dxa"/>
                  <w:vMerge w:val="continue"/>
                  <w:tcBorders>
                    <w:tl2br w:val="nil"/>
                    <w:tr2bl w:val="nil"/>
                  </w:tcBorders>
                  <w:vAlign w:val="center"/>
                </w:tcPr>
                <w:p>
                  <w:pPr>
                    <w:pStyle w:val="51"/>
                    <w:ind w:firstLine="480"/>
                  </w:pPr>
                </w:p>
              </w:tc>
              <w:tc>
                <w:tcPr>
                  <w:tcW w:w="1836" w:type="dxa"/>
                  <w:tcBorders>
                    <w:tl2br w:val="nil"/>
                    <w:tr2bl w:val="nil"/>
                  </w:tcBorders>
                  <w:vAlign w:val="center"/>
                </w:tcPr>
                <w:p>
                  <w:pPr>
                    <w:pStyle w:val="51"/>
                    <w:ind w:firstLine="480"/>
                    <w:jc w:val="both"/>
                  </w:pPr>
                  <w:r>
                    <w:t>通风工程</w:t>
                  </w:r>
                </w:p>
              </w:tc>
              <w:tc>
                <w:tcPr>
                  <w:tcW w:w="5682" w:type="dxa"/>
                  <w:gridSpan w:val="2"/>
                  <w:tcBorders>
                    <w:tl2br w:val="nil"/>
                    <w:tr2bl w:val="nil"/>
                  </w:tcBorders>
                  <w:vAlign w:val="center"/>
                </w:tcPr>
                <w:p>
                  <w:pPr>
                    <w:pStyle w:val="51"/>
                    <w:ind w:firstLine="420" w:firstLineChars="200"/>
                    <w:jc w:val="left"/>
                  </w:pPr>
                  <w:r>
                    <w:rPr>
                      <w:rFonts w:hint="eastAsia"/>
                    </w:rPr>
                    <w:t>DSA手术室排风风量约</w:t>
                  </w:r>
                  <w:r>
                    <w:t>1000</w:t>
                  </w:r>
                  <w:r>
                    <w:rPr>
                      <w:rFonts w:hint="eastAsia"/>
                    </w:rPr>
                    <w:t>m</w:t>
                  </w:r>
                  <w:r>
                    <w:rPr>
                      <w:rFonts w:hint="eastAsia"/>
                      <w:vertAlign w:val="superscript"/>
                    </w:rPr>
                    <w:t>3</w:t>
                  </w:r>
                  <w:r>
                    <w:rPr>
                      <w:rFonts w:hint="eastAsia"/>
                    </w:rPr>
                    <w:t>/h，换气次数为</w:t>
                  </w:r>
                  <w:r>
                    <w:t>8</w:t>
                  </w:r>
                  <w:r>
                    <w:rPr>
                      <w:rFonts w:hint="eastAsia"/>
                    </w:rPr>
                    <w:t>次/h</w:t>
                  </w:r>
                </w:p>
              </w:tc>
              <w:tc>
                <w:tcPr>
                  <w:tcW w:w="1093" w:type="dxa"/>
                  <w:tcBorders>
                    <w:tl2br w:val="nil"/>
                    <w:tr2bl w:val="nil"/>
                  </w:tcBorders>
                  <w:vAlign w:val="center"/>
                </w:tcPr>
                <w:p>
                  <w:pPr>
                    <w:pStyle w:val="51"/>
                  </w:pPr>
                  <w:r>
                    <w:rPr>
                      <w:rFonts w:hint="eastAsia"/>
                    </w:rPr>
                    <w:t>新</w:t>
                  </w:r>
                  <w: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9" w:type="dxa"/>
                  <w:vMerge w:val="restart"/>
                  <w:tcBorders>
                    <w:tl2br w:val="nil"/>
                    <w:tr2bl w:val="nil"/>
                  </w:tcBorders>
                  <w:vAlign w:val="center"/>
                </w:tcPr>
                <w:p>
                  <w:pPr>
                    <w:pStyle w:val="51"/>
                    <w:jc w:val="both"/>
                  </w:pPr>
                </w:p>
                <w:p>
                  <w:pPr>
                    <w:pStyle w:val="51"/>
                    <w:jc w:val="both"/>
                  </w:pPr>
                  <w:r>
                    <w:rPr>
                      <w:rFonts w:hint="eastAsia"/>
                    </w:rPr>
                    <w:t>环</w:t>
                  </w:r>
                </w:p>
                <w:p>
                  <w:pPr>
                    <w:pStyle w:val="51"/>
                    <w:jc w:val="both"/>
                  </w:pPr>
                  <w:r>
                    <w:rPr>
                      <w:rFonts w:hint="eastAsia"/>
                    </w:rPr>
                    <w:t>保</w:t>
                  </w:r>
                </w:p>
                <w:p>
                  <w:pPr>
                    <w:pStyle w:val="51"/>
                    <w:jc w:val="both"/>
                  </w:pPr>
                  <w:r>
                    <w:rPr>
                      <w:rFonts w:hint="eastAsia"/>
                    </w:rPr>
                    <w:t>工</w:t>
                  </w:r>
                </w:p>
                <w:p>
                  <w:pPr>
                    <w:pStyle w:val="51"/>
                    <w:jc w:val="both"/>
                  </w:pPr>
                  <w:r>
                    <w:rPr>
                      <w:rFonts w:hint="eastAsia"/>
                    </w:rPr>
                    <w:t>程</w:t>
                  </w:r>
                </w:p>
                <w:p/>
              </w:tc>
              <w:tc>
                <w:tcPr>
                  <w:tcW w:w="1836" w:type="dxa"/>
                  <w:tcBorders>
                    <w:tl2br w:val="nil"/>
                    <w:tr2bl w:val="nil"/>
                  </w:tcBorders>
                  <w:vAlign w:val="center"/>
                </w:tcPr>
                <w:p>
                  <w:pPr>
                    <w:pStyle w:val="51"/>
                    <w:ind w:firstLine="480"/>
                    <w:jc w:val="both"/>
                  </w:pPr>
                  <w:r>
                    <w:t>废水</w:t>
                  </w:r>
                </w:p>
              </w:tc>
              <w:tc>
                <w:tcPr>
                  <w:tcW w:w="5682" w:type="dxa"/>
                  <w:gridSpan w:val="2"/>
                  <w:tcBorders>
                    <w:tl2br w:val="nil"/>
                    <w:tr2bl w:val="nil"/>
                  </w:tcBorders>
                  <w:vAlign w:val="center"/>
                </w:tcPr>
                <w:p>
                  <w:pPr>
                    <w:pStyle w:val="51"/>
                    <w:ind w:firstLine="480"/>
                    <w:jc w:val="both"/>
                  </w:pPr>
                  <w:r>
                    <w:t>项目产生的生活污水和医疗废水经医院污水处理系统处理后排入市政管网。</w:t>
                  </w:r>
                </w:p>
              </w:tc>
              <w:tc>
                <w:tcPr>
                  <w:tcW w:w="1093" w:type="dxa"/>
                  <w:vMerge w:val="restart"/>
                  <w:tcBorders>
                    <w:tl2br w:val="nil"/>
                    <w:tr2bl w:val="nil"/>
                  </w:tcBorders>
                  <w:vAlign w:val="center"/>
                </w:tcPr>
                <w:p>
                  <w:pPr>
                    <w:pStyle w:val="51"/>
                  </w:pPr>
                  <w:r>
                    <w:t>依</w:t>
                  </w:r>
                </w:p>
                <w:p>
                  <w:pPr>
                    <w:pStyle w:val="51"/>
                  </w:pPr>
                  <w:r>
                    <w:t>托</w:t>
                  </w:r>
                </w:p>
                <w:p>
                  <w:pPr>
                    <w:pStyle w:val="51"/>
                  </w:pPr>
                  <w:r>
                    <w:t>原</w:t>
                  </w:r>
                </w:p>
                <w:p>
                  <w:pPr>
                    <w:pStyle w:val="51"/>
                  </w:pPr>
                  <w: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9" w:type="dxa"/>
                  <w:vMerge w:val="continue"/>
                  <w:tcBorders>
                    <w:tl2br w:val="nil"/>
                    <w:tr2bl w:val="nil"/>
                  </w:tcBorders>
                  <w:vAlign w:val="center"/>
                </w:tcPr>
                <w:p>
                  <w:pPr>
                    <w:pStyle w:val="51"/>
                    <w:ind w:firstLine="480"/>
                  </w:pPr>
                </w:p>
              </w:tc>
              <w:tc>
                <w:tcPr>
                  <w:tcW w:w="1836" w:type="dxa"/>
                  <w:tcBorders>
                    <w:tl2br w:val="nil"/>
                    <w:tr2bl w:val="nil"/>
                  </w:tcBorders>
                  <w:vAlign w:val="center"/>
                </w:tcPr>
                <w:p>
                  <w:pPr>
                    <w:pStyle w:val="51"/>
                    <w:ind w:firstLine="480"/>
                    <w:jc w:val="both"/>
                  </w:pPr>
                  <w:r>
                    <w:t>固废</w:t>
                  </w:r>
                </w:p>
              </w:tc>
              <w:tc>
                <w:tcPr>
                  <w:tcW w:w="5682" w:type="dxa"/>
                  <w:gridSpan w:val="2"/>
                  <w:tcBorders>
                    <w:tl2br w:val="nil"/>
                    <w:tr2bl w:val="nil"/>
                  </w:tcBorders>
                  <w:vAlign w:val="center"/>
                </w:tcPr>
                <w:p>
                  <w:pPr>
                    <w:pStyle w:val="51"/>
                    <w:ind w:firstLine="480"/>
                    <w:jc w:val="left"/>
                  </w:pPr>
                  <w:r>
                    <w:t>项目生活垃圾收集后交由环卫部门统一处置</w:t>
                  </w:r>
                  <w:r>
                    <w:rPr>
                      <w:szCs w:val="21"/>
                    </w:rPr>
                    <w:t>，医疗废物分类收集至</w:t>
                  </w:r>
                  <w:r>
                    <w:rPr>
                      <w:rFonts w:hint="eastAsia"/>
                      <w:szCs w:val="21"/>
                    </w:rPr>
                    <w:t>污物</w:t>
                  </w:r>
                  <w:r>
                    <w:rPr>
                      <w:szCs w:val="21"/>
                    </w:rPr>
                    <w:t>内，</w:t>
                  </w:r>
                  <w:r>
                    <w:rPr>
                      <w:color w:val="000000" w:themeColor="text1"/>
                      <w:szCs w:val="21"/>
                      <w14:textFill>
                        <w14:solidFill>
                          <w14:schemeClr w14:val="tx1"/>
                        </w14:solidFill>
                      </w14:textFill>
                    </w:rPr>
                    <w:t>定期交</w:t>
                  </w:r>
                  <w:r>
                    <w:rPr>
                      <w:rFonts w:hint="eastAsia"/>
                      <w:color w:val="000000" w:themeColor="text1"/>
                      <w:szCs w:val="21"/>
                      <w14:textFill>
                        <w14:solidFill>
                          <w14:schemeClr w14:val="tx1"/>
                        </w14:solidFill>
                      </w14:textFill>
                    </w:rPr>
                    <w:t>有资质单位</w:t>
                  </w:r>
                  <w:r>
                    <w:rPr>
                      <w:color w:val="000000" w:themeColor="text1"/>
                      <w:szCs w:val="21"/>
                      <w14:textFill>
                        <w14:solidFill>
                          <w14:schemeClr w14:val="tx1"/>
                        </w14:solidFill>
                      </w14:textFill>
                    </w:rPr>
                    <w:t>进行处置。</w:t>
                  </w:r>
                </w:p>
              </w:tc>
              <w:tc>
                <w:tcPr>
                  <w:tcW w:w="1093" w:type="dxa"/>
                  <w:vMerge w:val="continue"/>
                  <w:tcBorders>
                    <w:tl2br w:val="nil"/>
                    <w:tr2bl w:val="nil"/>
                  </w:tcBorders>
                  <w:vAlign w:val="center"/>
                </w:tcPr>
                <w:p>
                  <w:pPr>
                    <w:pStyle w:val="51"/>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449" w:type="dxa"/>
                  <w:vMerge w:val="continue"/>
                  <w:tcBorders>
                    <w:tl2br w:val="nil"/>
                    <w:tr2bl w:val="nil"/>
                  </w:tcBorders>
                  <w:vAlign w:val="center"/>
                </w:tcPr>
                <w:p>
                  <w:pPr>
                    <w:pStyle w:val="51"/>
                    <w:ind w:firstLine="480"/>
                  </w:pPr>
                </w:p>
              </w:tc>
              <w:tc>
                <w:tcPr>
                  <w:tcW w:w="1836" w:type="dxa"/>
                  <w:tcBorders>
                    <w:tl2br w:val="nil"/>
                    <w:tr2bl w:val="nil"/>
                  </w:tcBorders>
                  <w:vAlign w:val="center"/>
                </w:tcPr>
                <w:p>
                  <w:pPr>
                    <w:pStyle w:val="51"/>
                    <w:ind w:firstLine="480"/>
                    <w:jc w:val="both"/>
                  </w:pPr>
                  <w:r>
                    <w:t>辐射防护</w:t>
                  </w:r>
                </w:p>
              </w:tc>
              <w:tc>
                <w:tcPr>
                  <w:tcW w:w="5682" w:type="dxa"/>
                  <w:gridSpan w:val="2"/>
                  <w:tcBorders>
                    <w:tl2br w:val="nil"/>
                    <w:tr2bl w:val="nil"/>
                  </w:tcBorders>
                  <w:vAlign w:val="center"/>
                </w:tcPr>
                <w:p>
                  <w:pPr>
                    <w:pStyle w:val="51"/>
                    <w:ind w:firstLine="480"/>
                    <w:jc w:val="left"/>
                  </w:pPr>
                  <w:r>
                    <w:rPr>
                      <w:rFonts w:hint="eastAsia"/>
                    </w:rPr>
                    <w:t>D</w:t>
                  </w:r>
                  <w:r>
                    <w:t>SA手术室周围采用符合要求</w:t>
                  </w:r>
                  <w:r>
                    <w:rPr>
                      <w:szCs w:val="21"/>
                    </w:rPr>
                    <w:t>硫酸钡防护材料</w:t>
                  </w:r>
                  <w:r>
                    <w:t>、铅板、铅玻璃及铅门进行防护。</w:t>
                  </w:r>
                </w:p>
              </w:tc>
              <w:tc>
                <w:tcPr>
                  <w:tcW w:w="1093" w:type="dxa"/>
                  <w:tcBorders>
                    <w:tl2br w:val="nil"/>
                    <w:tr2bl w:val="nil"/>
                  </w:tcBorders>
                  <w:vAlign w:val="center"/>
                </w:tcPr>
                <w:p>
                  <w:pPr>
                    <w:pStyle w:val="51"/>
                  </w:pPr>
                  <w:r>
                    <w:rPr>
                      <w:rFonts w:hint="eastAsia"/>
                    </w:rPr>
                    <w:t>新</w:t>
                  </w:r>
                </w:p>
                <w:p>
                  <w:pPr>
                    <w:pStyle w:val="51"/>
                  </w:pPr>
                  <w:r>
                    <w:rPr>
                      <w:rFonts w:hint="eastAsia"/>
                    </w:rPr>
                    <w:t>建</w:t>
                  </w:r>
                </w:p>
              </w:tc>
            </w:tr>
          </w:tbl>
          <w:p>
            <w:pPr>
              <w:adjustRightInd w:val="0"/>
              <w:spacing w:line="360" w:lineRule="auto"/>
              <w:ind w:firstLine="482" w:firstLineChars="200"/>
              <w:rPr>
                <w:b/>
                <w:color w:val="000000"/>
              </w:rPr>
            </w:pPr>
            <w:r>
              <w:rPr>
                <w:b/>
                <w:color w:val="000000"/>
              </w:rPr>
              <w:t xml:space="preserve">1.6.4 </w:t>
            </w:r>
            <w:r>
              <w:rPr>
                <w:rFonts w:hint="eastAsia"/>
                <w:b/>
                <w:color w:val="000000"/>
              </w:rPr>
              <w:t>设备主要技术参数</w:t>
            </w:r>
          </w:p>
          <w:p>
            <w:pPr>
              <w:adjustRightInd w:val="0"/>
              <w:spacing w:line="360" w:lineRule="auto"/>
              <w:ind w:firstLine="480" w:firstLineChars="200"/>
              <w:rPr>
                <w:color w:val="000000"/>
              </w:rPr>
            </w:pPr>
            <w:r>
              <w:rPr>
                <w:color w:val="000000"/>
              </w:rPr>
              <w:t>项目涉及的</w:t>
            </w:r>
            <w:r>
              <w:rPr>
                <w:rFonts w:hint="eastAsia"/>
                <w:color w:val="000000"/>
              </w:rPr>
              <w:t>数字减影血管造影机（D</w:t>
            </w:r>
            <w:r>
              <w:rPr>
                <w:color w:val="000000"/>
              </w:rPr>
              <w:t>SA</w:t>
            </w:r>
            <w:r>
              <w:rPr>
                <w:rFonts w:hint="eastAsia"/>
                <w:color w:val="000000"/>
              </w:rPr>
              <w:t>）</w:t>
            </w:r>
            <w:r>
              <w:rPr>
                <w:color w:val="000000"/>
              </w:rPr>
              <w:t>主要技术参数详见表1-4。</w:t>
            </w:r>
          </w:p>
          <w:p>
            <w:pPr>
              <w:spacing w:line="360" w:lineRule="auto"/>
              <w:jc w:val="center"/>
              <w:rPr>
                <w:rFonts w:ascii="宋体" w:hAnsi="宋体"/>
                <w:b/>
                <w:bCs/>
                <w:sz w:val="21"/>
                <w:szCs w:val="21"/>
              </w:rPr>
            </w:pPr>
            <w:r>
              <w:rPr>
                <w:rFonts w:ascii="宋体" w:hAnsi="宋体"/>
                <w:b/>
                <w:bCs/>
                <w:sz w:val="21"/>
                <w:szCs w:val="21"/>
              </w:rPr>
              <w:t>表1-4  项目DSA手术室拟配置的设备相关参数一览表</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291"/>
              <w:gridCol w:w="1272"/>
              <w:gridCol w:w="2125"/>
              <w:gridCol w:w="964"/>
              <w:gridCol w:w="1108"/>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trPr>
              <w:tc>
                <w:tcPr>
                  <w:tcW w:w="402" w:type="pct"/>
                  <w:vAlign w:val="center"/>
                </w:tcPr>
                <w:p>
                  <w:pPr>
                    <w:adjustRightInd w:val="0"/>
                    <w:jc w:val="center"/>
                    <w:rPr>
                      <w:color w:val="000000"/>
                      <w:sz w:val="21"/>
                      <w:szCs w:val="21"/>
                    </w:rPr>
                  </w:pPr>
                  <w:r>
                    <w:rPr>
                      <w:color w:val="000000"/>
                      <w:sz w:val="21"/>
                      <w:szCs w:val="21"/>
                    </w:rPr>
                    <w:t>序号</w:t>
                  </w:r>
                </w:p>
              </w:tc>
              <w:tc>
                <w:tcPr>
                  <w:tcW w:w="716" w:type="pct"/>
                  <w:vAlign w:val="center"/>
                </w:tcPr>
                <w:p>
                  <w:pPr>
                    <w:adjustRightInd w:val="0"/>
                    <w:jc w:val="center"/>
                    <w:rPr>
                      <w:color w:val="000000"/>
                      <w:sz w:val="21"/>
                      <w:szCs w:val="21"/>
                    </w:rPr>
                  </w:pPr>
                  <w:r>
                    <w:rPr>
                      <w:color w:val="000000"/>
                      <w:sz w:val="21"/>
                      <w:szCs w:val="21"/>
                    </w:rPr>
                    <w:t>设备名称</w:t>
                  </w:r>
                </w:p>
              </w:tc>
              <w:tc>
                <w:tcPr>
                  <w:tcW w:w="706" w:type="pct"/>
                  <w:vAlign w:val="center"/>
                </w:tcPr>
                <w:p>
                  <w:pPr>
                    <w:adjustRightInd w:val="0"/>
                    <w:jc w:val="center"/>
                    <w:rPr>
                      <w:color w:val="000000"/>
                      <w:sz w:val="21"/>
                      <w:szCs w:val="21"/>
                    </w:rPr>
                  </w:pPr>
                  <w:r>
                    <w:rPr>
                      <w:color w:val="000000"/>
                      <w:sz w:val="21"/>
                      <w:szCs w:val="21"/>
                    </w:rPr>
                    <w:t>型号</w:t>
                  </w:r>
                </w:p>
              </w:tc>
              <w:tc>
                <w:tcPr>
                  <w:tcW w:w="1179" w:type="pct"/>
                  <w:vAlign w:val="center"/>
                </w:tcPr>
                <w:p>
                  <w:pPr>
                    <w:adjustRightInd w:val="0"/>
                    <w:jc w:val="center"/>
                    <w:rPr>
                      <w:color w:val="000000"/>
                      <w:sz w:val="21"/>
                      <w:szCs w:val="21"/>
                    </w:rPr>
                  </w:pPr>
                  <w:r>
                    <w:rPr>
                      <w:color w:val="000000"/>
                      <w:sz w:val="21"/>
                      <w:szCs w:val="21"/>
                    </w:rPr>
                    <w:t>具体参数</w:t>
                  </w:r>
                </w:p>
              </w:tc>
              <w:tc>
                <w:tcPr>
                  <w:tcW w:w="535" w:type="pct"/>
                  <w:vAlign w:val="center"/>
                </w:tcPr>
                <w:p>
                  <w:pPr>
                    <w:adjustRightInd w:val="0"/>
                    <w:jc w:val="center"/>
                    <w:rPr>
                      <w:color w:val="000000"/>
                      <w:sz w:val="21"/>
                      <w:szCs w:val="21"/>
                    </w:rPr>
                  </w:pPr>
                  <w:r>
                    <w:rPr>
                      <w:color w:val="000000"/>
                      <w:sz w:val="21"/>
                      <w:szCs w:val="21"/>
                    </w:rPr>
                    <w:t>类别</w:t>
                  </w:r>
                </w:p>
              </w:tc>
              <w:tc>
                <w:tcPr>
                  <w:tcW w:w="615" w:type="pct"/>
                  <w:vAlign w:val="center"/>
                </w:tcPr>
                <w:p>
                  <w:pPr>
                    <w:adjustRightIn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数量/台</w:t>
                  </w:r>
                </w:p>
              </w:tc>
              <w:tc>
                <w:tcPr>
                  <w:tcW w:w="847" w:type="pct"/>
                  <w:vAlign w:val="center"/>
                </w:tcPr>
                <w:p>
                  <w:pPr>
                    <w:adjustRightInd w:val="0"/>
                    <w:jc w:val="center"/>
                    <w:rPr>
                      <w:color w:val="000000"/>
                      <w:sz w:val="21"/>
                      <w:szCs w:val="21"/>
                    </w:rPr>
                  </w:pPr>
                  <w:r>
                    <w:rPr>
                      <w:sz w:val="21"/>
                      <w:szCs w:val="21"/>
                    </w:rPr>
                    <w:t>拟放置位置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02" w:type="pct"/>
                  <w:vAlign w:val="center"/>
                </w:tcPr>
                <w:p>
                  <w:pPr>
                    <w:adjustRightInd w:val="0"/>
                    <w:jc w:val="center"/>
                    <w:rPr>
                      <w:color w:val="000000"/>
                      <w:sz w:val="21"/>
                      <w:szCs w:val="21"/>
                    </w:rPr>
                  </w:pPr>
                  <w:r>
                    <w:rPr>
                      <w:color w:val="000000"/>
                      <w:sz w:val="21"/>
                      <w:szCs w:val="21"/>
                    </w:rPr>
                    <w:t>1</w:t>
                  </w:r>
                </w:p>
              </w:tc>
              <w:tc>
                <w:tcPr>
                  <w:tcW w:w="716" w:type="pct"/>
                  <w:vAlign w:val="center"/>
                </w:tcPr>
                <w:p>
                  <w:pPr>
                    <w:adjustRightInd w:val="0"/>
                    <w:jc w:val="center"/>
                    <w:rPr>
                      <w:color w:val="000000"/>
                      <w:sz w:val="21"/>
                      <w:szCs w:val="21"/>
                    </w:rPr>
                  </w:pPr>
                  <w:r>
                    <w:rPr>
                      <w:rFonts w:hint="eastAsia"/>
                      <w:color w:val="000000"/>
                      <w:sz w:val="21"/>
                      <w:szCs w:val="21"/>
                    </w:rPr>
                    <w:t>数字减影血管造影机（DSA）</w:t>
                  </w:r>
                </w:p>
              </w:tc>
              <w:tc>
                <w:tcPr>
                  <w:tcW w:w="706" w:type="pct"/>
                  <w:vAlign w:val="center"/>
                </w:tcPr>
                <w:p>
                  <w:pPr>
                    <w:adjustRightInd w:val="0"/>
                    <w:jc w:val="center"/>
                    <w:rPr>
                      <w:color w:val="000000"/>
                      <w:sz w:val="21"/>
                      <w:szCs w:val="21"/>
                    </w:rPr>
                  </w:pPr>
                  <w:r>
                    <w:rPr>
                      <w:rFonts w:hint="eastAsia"/>
                      <w:color w:val="000000"/>
                      <w:sz w:val="21"/>
                      <w:szCs w:val="21"/>
                    </w:rPr>
                    <w:t>GE Optima IGS Venus</w:t>
                  </w:r>
                </w:p>
              </w:tc>
              <w:tc>
                <w:tcPr>
                  <w:tcW w:w="1179" w:type="pct"/>
                  <w:vAlign w:val="center"/>
                </w:tcPr>
                <w:p>
                  <w:pPr>
                    <w:adjustRightInd w:val="0"/>
                    <w:jc w:val="center"/>
                    <w:rPr>
                      <w:color w:val="000000"/>
                      <w:sz w:val="21"/>
                      <w:szCs w:val="21"/>
                    </w:rPr>
                  </w:pPr>
                  <w:r>
                    <w:rPr>
                      <w:color w:val="000000"/>
                      <w:sz w:val="21"/>
                      <w:szCs w:val="21"/>
                    </w:rPr>
                    <w:t>最大管电压125kV</w:t>
                  </w:r>
                </w:p>
                <w:p>
                  <w:pPr>
                    <w:adjustRightInd w:val="0"/>
                    <w:jc w:val="center"/>
                    <w:rPr>
                      <w:color w:val="000000"/>
                      <w:sz w:val="21"/>
                      <w:szCs w:val="21"/>
                    </w:rPr>
                  </w:pPr>
                  <w:r>
                    <w:rPr>
                      <w:color w:val="000000"/>
                      <w:sz w:val="21"/>
                      <w:szCs w:val="21"/>
                    </w:rPr>
                    <w:t>最大管电流10</w:t>
                  </w:r>
                  <w:r>
                    <w:rPr>
                      <w:rFonts w:hint="eastAsia"/>
                      <w:color w:val="000000"/>
                      <w:sz w:val="21"/>
                      <w:szCs w:val="21"/>
                    </w:rPr>
                    <w:t>0</w:t>
                  </w:r>
                  <w:r>
                    <w:rPr>
                      <w:color w:val="000000"/>
                      <w:sz w:val="21"/>
                      <w:szCs w:val="21"/>
                    </w:rPr>
                    <w:t>0mA</w:t>
                  </w:r>
                </w:p>
              </w:tc>
              <w:tc>
                <w:tcPr>
                  <w:tcW w:w="535" w:type="pct"/>
                  <w:vAlign w:val="center"/>
                </w:tcPr>
                <w:p>
                  <w:pPr>
                    <w:snapToGrid w:val="0"/>
                    <w:jc w:val="center"/>
                    <w:rPr>
                      <w:color w:val="000000"/>
                      <w:sz w:val="21"/>
                      <w:szCs w:val="21"/>
                    </w:rPr>
                  </w:pPr>
                  <w:r>
                    <w:rPr>
                      <w:color w:val="000000"/>
                      <w:sz w:val="21"/>
                      <w:szCs w:val="21"/>
                    </w:rPr>
                    <w:t>II类</w:t>
                  </w:r>
                </w:p>
              </w:tc>
              <w:tc>
                <w:tcPr>
                  <w:tcW w:w="615" w:type="pct"/>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847" w:type="pct"/>
                  <w:vAlign w:val="center"/>
                </w:tcPr>
                <w:p>
                  <w:pPr>
                    <w:adjustRightInd w:val="0"/>
                    <w:jc w:val="center"/>
                    <w:rPr>
                      <w:color w:val="000000"/>
                      <w:sz w:val="21"/>
                      <w:szCs w:val="21"/>
                    </w:rPr>
                  </w:pPr>
                  <w:r>
                    <w:rPr>
                      <w:rFonts w:hint="eastAsia"/>
                      <w:sz w:val="21"/>
                      <w:szCs w:val="21"/>
                    </w:rPr>
                    <w:t>DSA手术室</w:t>
                  </w:r>
                </w:p>
              </w:tc>
            </w:tr>
          </w:tbl>
          <w:p>
            <w:pPr>
              <w:adjustRightInd w:val="0"/>
              <w:spacing w:line="360" w:lineRule="auto"/>
              <w:ind w:firstLine="482" w:firstLineChars="200"/>
              <w:rPr>
                <w:b/>
                <w:color w:val="000000"/>
              </w:rPr>
            </w:pPr>
            <w:r>
              <w:rPr>
                <w:b/>
                <w:color w:val="000000"/>
              </w:rPr>
              <w:t xml:space="preserve">1.6.5 </w:t>
            </w:r>
            <w:r>
              <w:rPr>
                <w:rFonts w:hint="eastAsia"/>
                <w:b/>
                <w:color w:val="000000"/>
              </w:rPr>
              <w:t>项目平面布局图</w:t>
            </w:r>
          </w:p>
          <w:p>
            <w:pPr>
              <w:pStyle w:val="11"/>
              <w:spacing w:line="360" w:lineRule="auto"/>
              <w:rPr>
                <w:sz w:val="24"/>
              </w:rPr>
            </w:pPr>
            <w:r>
              <w:drawing>
                <wp:anchor distT="0" distB="0" distL="114300" distR="114300" simplePos="0" relativeHeight="251668480" behindDoc="0" locked="0" layoutInCell="1" allowOverlap="1">
                  <wp:simplePos x="0" y="0"/>
                  <wp:positionH relativeFrom="column">
                    <wp:posOffset>303530</wp:posOffset>
                  </wp:positionH>
                  <wp:positionV relativeFrom="paragraph">
                    <wp:posOffset>575945</wp:posOffset>
                  </wp:positionV>
                  <wp:extent cx="5075555" cy="4461510"/>
                  <wp:effectExtent l="0" t="0" r="0" b="0"/>
                  <wp:wrapTopAndBottom/>
                  <wp:docPr id="1108877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77784"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75555" cy="4461510"/>
                          </a:xfrm>
                          <a:prstGeom prst="rect">
                            <a:avLst/>
                          </a:prstGeom>
                          <a:noFill/>
                          <a:ln>
                            <a:noFill/>
                          </a:ln>
                        </pic:spPr>
                      </pic:pic>
                    </a:graphicData>
                  </a:graphic>
                </wp:anchor>
              </w:drawing>
            </w:r>
            <w:r>
              <w:rPr>
                <w:rFonts w:hint="eastAsia"/>
              </w:rPr>
              <w:t xml:space="preserve"> </w:t>
            </w:r>
            <w:r>
              <w:rPr>
                <w:sz w:val="24"/>
              </w:rPr>
              <w:t xml:space="preserve">   </w:t>
            </w:r>
            <w:r>
              <w:rPr>
                <w:rFonts w:hint="eastAsia"/>
                <w:sz w:val="24"/>
              </w:rPr>
              <w:t>本项目位于医院住院部一层，改造后DSA手术室平面布局图见图1</w:t>
            </w:r>
            <w:r>
              <w:rPr>
                <w:sz w:val="24"/>
              </w:rPr>
              <w:t>-4</w:t>
            </w:r>
            <w:r>
              <w:rPr>
                <w:rFonts w:hint="eastAsia"/>
                <w:sz w:val="24"/>
              </w:rPr>
              <w:t>，医院住院部一层改造前平面布局图见图1</w:t>
            </w:r>
            <w:r>
              <w:rPr>
                <w:sz w:val="24"/>
              </w:rPr>
              <w:t>-5</w:t>
            </w:r>
            <w:r>
              <w:rPr>
                <w:rFonts w:hint="eastAsia"/>
                <w:sz w:val="24"/>
              </w:rPr>
              <w:t>，医院住院部一层改造前平面布局图见图1-</w:t>
            </w:r>
            <w:r>
              <w:rPr>
                <w:sz w:val="24"/>
              </w:rPr>
              <w:t>6</w:t>
            </w:r>
            <w:r>
              <w:rPr>
                <w:rFonts w:hint="eastAsia"/>
                <w:sz w:val="24"/>
              </w:rPr>
              <w:t>。</w:t>
            </w:r>
          </w:p>
          <w:p>
            <w:pPr>
              <w:pStyle w:val="11"/>
              <w:jc w:val="center"/>
              <w:rPr>
                <w:sz w:val="40"/>
                <w:szCs w:val="24"/>
              </w:rPr>
            </w:pPr>
            <w:r>
              <w:rPr>
                <w:rFonts w:hint="eastAsia" w:eastAsia="黑体"/>
                <w:b/>
                <w:bCs/>
                <w:spacing w:val="-4"/>
                <w:sz w:val="24"/>
                <w:szCs w:val="24"/>
              </w:rPr>
              <w:t>图</w:t>
            </w:r>
            <w:r>
              <w:rPr>
                <w:rFonts w:eastAsia="黑体"/>
                <w:b/>
                <w:bCs/>
                <w:spacing w:val="-4"/>
                <w:sz w:val="24"/>
                <w:szCs w:val="24"/>
              </w:rPr>
              <w:t>1</w:t>
            </w:r>
            <w:r>
              <w:rPr>
                <w:rFonts w:hint="eastAsia" w:eastAsia="黑体"/>
                <w:b/>
                <w:bCs/>
                <w:spacing w:val="-4"/>
                <w:sz w:val="24"/>
                <w:szCs w:val="24"/>
              </w:rPr>
              <w:t>-</w:t>
            </w:r>
            <w:r>
              <w:rPr>
                <w:rFonts w:eastAsia="黑体"/>
                <w:b/>
                <w:bCs/>
                <w:spacing w:val="-4"/>
                <w:sz w:val="24"/>
                <w:szCs w:val="24"/>
              </w:rPr>
              <w:t xml:space="preserve">4  </w:t>
            </w:r>
            <w:r>
              <w:rPr>
                <w:rFonts w:hint="eastAsia" w:eastAsia="黑体"/>
                <w:b/>
                <w:bCs/>
                <w:spacing w:val="-4"/>
                <w:sz w:val="24"/>
                <w:szCs w:val="24"/>
              </w:rPr>
              <w:t>通用环球中铁西安医院D</w:t>
            </w:r>
            <w:r>
              <w:rPr>
                <w:rFonts w:eastAsia="黑体"/>
                <w:b/>
                <w:bCs/>
                <w:spacing w:val="-4"/>
                <w:sz w:val="24"/>
                <w:szCs w:val="24"/>
              </w:rPr>
              <w:t>SA</w:t>
            </w:r>
            <w:r>
              <w:rPr>
                <w:rFonts w:hint="eastAsia" w:eastAsia="黑体"/>
                <w:b/>
                <w:bCs/>
                <w:spacing w:val="-4"/>
                <w:sz w:val="24"/>
                <w:szCs w:val="24"/>
              </w:rPr>
              <w:t>手术室平面布局图</w:t>
            </w:r>
          </w:p>
          <w:p>
            <w:pPr>
              <w:jc w:val="left"/>
            </w:pPr>
          </w:p>
          <w:p>
            <w:pPr>
              <w:pStyle w:val="11"/>
              <w:rPr>
                <w:sz w:val="24"/>
              </w:rPr>
            </w:pPr>
          </w:p>
          <w:p>
            <w:pPr>
              <w:pStyle w:val="11"/>
              <w:rPr>
                <w:sz w:val="24"/>
              </w:rPr>
            </w:pPr>
          </w:p>
          <w:p>
            <w:pPr>
              <w:pStyle w:val="2"/>
              <w:ind w:firstLine="0" w:firstLineChars="0"/>
              <w:rPr>
                <w:rFonts w:eastAsia="等线"/>
              </w:rPr>
            </w:pPr>
          </w:p>
        </w:tc>
      </w:tr>
    </w:tbl>
    <w:p>
      <w:pPr>
        <w:pStyle w:val="2"/>
        <w:ind w:firstLine="0" w:firstLineChars="0"/>
        <w:jc w:val="left"/>
        <w:rPr>
          <w:rFonts w:eastAsiaTheme="minorEastAsia"/>
        </w:rPr>
        <w:sectPr>
          <w:footerReference r:id="rId5" w:type="default"/>
          <w:pgSz w:w="11906" w:h="16838"/>
          <w:pgMar w:top="1440" w:right="1440" w:bottom="1440" w:left="144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spacing w:before="79" w:line="187" w:lineRule="auto"/>
        <w:jc w:val="center"/>
        <w:rPr>
          <w:rFonts w:ascii="宋体" w:hAnsi="宋体" w:cs="宋体"/>
          <w:b/>
          <w:bCs/>
          <w:spacing w:val="-4"/>
        </w:rPr>
      </w:pPr>
      <w:r>
        <w:drawing>
          <wp:anchor distT="0" distB="0" distL="114300" distR="114300" simplePos="0" relativeHeight="251669504" behindDoc="0" locked="0" layoutInCell="1" allowOverlap="1">
            <wp:simplePos x="0" y="0"/>
            <wp:positionH relativeFrom="column">
              <wp:posOffset>-372110</wp:posOffset>
            </wp:positionH>
            <wp:positionV relativeFrom="paragraph">
              <wp:posOffset>54610</wp:posOffset>
            </wp:positionV>
            <wp:extent cx="9686290" cy="3533775"/>
            <wp:effectExtent l="0" t="0" r="0" b="9525"/>
            <wp:wrapTopAndBottom/>
            <wp:docPr id="17256655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6559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686290" cy="3533775"/>
                    </a:xfrm>
                    <a:prstGeom prst="rect">
                      <a:avLst/>
                    </a:prstGeom>
                    <a:noFill/>
                    <a:ln>
                      <a:noFill/>
                    </a:ln>
                  </pic:spPr>
                </pic:pic>
              </a:graphicData>
            </a:graphic>
          </wp:anchor>
        </w:drawing>
      </w:r>
      <w:r>
        <w:rPr>
          <w:rFonts w:hint="eastAsia" w:ascii="宋体" w:hAnsi="宋体" w:cs="宋体"/>
          <w:b/>
          <w:bCs/>
          <w:spacing w:val="-4"/>
        </w:rPr>
        <w:t>图 1-</w:t>
      </w:r>
      <w:r>
        <w:rPr>
          <w:rFonts w:ascii="宋体" w:hAnsi="宋体" w:cs="宋体"/>
          <w:b/>
          <w:bCs/>
          <w:spacing w:val="-4"/>
        </w:rPr>
        <w:t>5</w:t>
      </w:r>
      <w:r>
        <w:rPr>
          <w:rFonts w:hint="eastAsia" w:ascii="宋体" w:hAnsi="宋体" w:cs="宋体"/>
          <w:b/>
          <w:bCs/>
          <w:spacing w:val="-4"/>
        </w:rPr>
        <w:t xml:space="preserve">  通用环球中铁西安医院住院部一层平面布局图（改造前）</w:t>
      </w:r>
    </w:p>
    <w:p>
      <w:pPr>
        <w:spacing w:before="79" w:line="187" w:lineRule="auto"/>
        <w:rPr>
          <w:rFonts w:ascii="宋体" w:hAnsi="宋体" w:cs="宋体"/>
          <w:b/>
          <w:bCs/>
          <w:spacing w:val="-4"/>
        </w:rPr>
      </w:pPr>
    </w:p>
    <w:p>
      <w:pPr>
        <w:spacing w:before="79" w:line="187" w:lineRule="auto"/>
        <w:jc w:val="center"/>
        <w:rPr>
          <w:rFonts w:ascii="宋体" w:hAnsi="宋体" w:cs="宋体"/>
          <w:b/>
          <w:bCs/>
          <w:spacing w:val="-4"/>
        </w:rPr>
      </w:pPr>
    </w:p>
    <w:p>
      <w:pPr>
        <w:spacing w:before="79" w:line="187" w:lineRule="auto"/>
        <w:jc w:val="center"/>
        <w:rPr>
          <w:rFonts w:ascii="宋体" w:hAnsi="宋体" w:cs="宋体"/>
          <w:b/>
          <w:bCs/>
          <w:spacing w:val="-4"/>
        </w:rPr>
      </w:pPr>
    </w:p>
    <w:p>
      <w:pPr>
        <w:spacing w:before="79" w:line="187" w:lineRule="auto"/>
        <w:jc w:val="center"/>
        <w:rPr>
          <w:rFonts w:ascii="宋体" w:hAnsi="宋体" w:cs="宋体"/>
          <w:b/>
          <w:bCs/>
          <w:spacing w:val="-4"/>
        </w:rPr>
      </w:pPr>
    </w:p>
    <w:p>
      <w:pPr>
        <w:spacing w:before="79" w:line="187" w:lineRule="auto"/>
        <w:jc w:val="center"/>
        <w:rPr>
          <w:rFonts w:ascii="宋体" w:hAnsi="宋体" w:cs="宋体"/>
          <w:b/>
          <w:bCs/>
          <w:spacing w:val="-4"/>
        </w:rPr>
      </w:pPr>
    </w:p>
    <w:p>
      <w:pPr>
        <w:spacing w:before="79" w:line="187" w:lineRule="auto"/>
        <w:jc w:val="center"/>
        <w:rPr>
          <w:rFonts w:ascii="宋体" w:hAnsi="宋体" w:cs="宋体"/>
          <w:b/>
          <w:bCs/>
          <w:spacing w:val="-4"/>
        </w:rPr>
      </w:pPr>
    </w:p>
    <w:p>
      <w:pPr>
        <w:spacing w:before="79" w:line="187" w:lineRule="auto"/>
        <w:jc w:val="center"/>
        <w:rPr>
          <w:rFonts w:ascii="宋体" w:hAnsi="宋体" w:cs="宋体"/>
          <w:b/>
          <w:bCs/>
          <w:spacing w:val="-4"/>
        </w:rPr>
      </w:pPr>
    </w:p>
    <w:p>
      <w:pPr>
        <w:spacing w:before="79" w:line="187" w:lineRule="auto"/>
        <w:jc w:val="center"/>
        <w:rPr>
          <w:rFonts w:ascii="宋体" w:hAnsi="宋体" w:cs="宋体"/>
          <w:b/>
          <w:bCs/>
          <w:spacing w:val="-4"/>
        </w:rPr>
      </w:pPr>
      <w:r>
        <w:rPr>
          <w:rFonts w:hint="eastAsia" w:ascii="宋体" w:hAnsi="宋体" w:cs="宋体"/>
          <w:b/>
          <w:bCs/>
          <w:spacing w:val="-4"/>
        </w:rPr>
        <w:t>图 1-</w:t>
      </w:r>
      <w:r>
        <w:rPr>
          <w:rFonts w:ascii="宋体" w:hAnsi="宋体" w:cs="宋体"/>
          <w:b/>
          <w:bCs/>
          <w:spacing w:val="-4"/>
        </w:rPr>
        <w:t>6</w:t>
      </w:r>
      <w:r>
        <w:rPr>
          <w:rFonts w:hint="eastAsia" w:ascii="宋体" w:hAnsi="宋体" w:cs="宋体"/>
          <w:b/>
          <w:bCs/>
          <w:spacing w:val="-4"/>
        </w:rPr>
        <w:t xml:space="preserve">  通用环球中铁西安医院住院部一层平面布局图（改造后）</w:t>
      </w:r>
      <w:r>
        <w:drawing>
          <wp:anchor distT="0" distB="0" distL="114300" distR="114300" simplePos="0" relativeHeight="251670528" behindDoc="0" locked="0" layoutInCell="1" allowOverlap="1">
            <wp:simplePos x="0" y="0"/>
            <wp:positionH relativeFrom="column">
              <wp:posOffset>-185420</wp:posOffset>
            </wp:positionH>
            <wp:positionV relativeFrom="paragraph">
              <wp:posOffset>95885</wp:posOffset>
            </wp:positionV>
            <wp:extent cx="9434195" cy="3415665"/>
            <wp:effectExtent l="0" t="0" r="0" b="0"/>
            <wp:wrapTopAndBottom/>
            <wp:docPr id="12568461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46174"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433971" cy="3415911"/>
                    </a:xfrm>
                    <a:prstGeom prst="rect">
                      <a:avLst/>
                    </a:prstGeom>
                    <a:noFill/>
                    <a:ln>
                      <a:noFill/>
                    </a:ln>
                  </pic:spPr>
                </pic:pic>
              </a:graphicData>
            </a:graphic>
          </wp:anchor>
        </w:drawing>
      </w:r>
    </w:p>
    <w:p>
      <w:pPr>
        <w:spacing w:before="79" w:line="187" w:lineRule="auto"/>
        <w:jc w:val="center"/>
        <w:rPr>
          <w:rFonts w:ascii="宋体" w:hAnsi="宋体" w:cs="宋体"/>
          <w:b/>
          <w:bCs/>
          <w:spacing w:val="-4"/>
        </w:rPr>
        <w:sectPr>
          <w:footerReference r:id="rId6" w:type="default"/>
          <w:pgSz w:w="16838" w:h="11906" w:orient="landscape"/>
          <w:pgMar w:top="1440" w:right="1440" w:bottom="1440" w:left="1440" w:header="851" w:footer="992" w:gutter="0"/>
          <w:pgBorders>
            <w:top w:val="none" w:sz="0" w:space="0"/>
            <w:left w:val="none" w:sz="0" w:space="0"/>
            <w:bottom w:val="none" w:sz="0" w:space="0"/>
            <w:right w:val="none" w:sz="0" w:space="0"/>
          </w:pgBorders>
          <w:pgNumType w:fmt="numberInDash"/>
          <w:cols w:space="720" w:num="1"/>
          <w:docGrid w:type="lines" w:linePitch="334" w:charSpace="0"/>
        </w:sectPr>
      </w:pPr>
    </w:p>
    <w:tbl>
      <w:tblPr>
        <w:tblStyle w:val="16"/>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7" w:hRule="atLeast"/>
        </w:trPr>
        <w:tc>
          <w:tcPr>
            <w:tcW w:w="9242" w:type="dxa"/>
            <w:shd w:val="clear" w:color="auto" w:fill="auto"/>
          </w:tcPr>
          <w:p>
            <w:pPr>
              <w:adjustRightInd w:val="0"/>
              <w:spacing w:line="360" w:lineRule="auto"/>
              <w:ind w:firstLine="482" w:firstLineChars="200"/>
              <w:rPr>
                <w:b/>
                <w:color w:val="000000"/>
              </w:rPr>
            </w:pPr>
            <w:r>
              <w:rPr>
                <w:b/>
                <w:color w:val="000000"/>
              </w:rPr>
              <w:t>1.6.6 劳动定员和工作负荷</w:t>
            </w:r>
          </w:p>
          <w:p>
            <w:pPr>
              <w:adjustRightInd w:val="0"/>
              <w:snapToGrid w:val="0"/>
              <w:spacing w:line="360" w:lineRule="auto"/>
              <w:ind w:firstLine="480" w:firstLineChars="200"/>
            </w:pPr>
            <w:r>
              <w:rPr>
                <w:rFonts w:hint="eastAsia"/>
                <w:color w:val="000000" w:themeColor="text1"/>
                <w14:textFill>
                  <w14:solidFill>
                    <w14:schemeClr w14:val="tx1"/>
                  </w14:solidFill>
                </w14:textFill>
              </w:rPr>
              <w:t>根据医院提供资料，</w:t>
            </w:r>
            <w:r>
              <w:rPr>
                <w:color w:val="000000" w:themeColor="text1"/>
                <w14:textFill>
                  <w14:solidFill>
                    <w14:schemeClr w14:val="tx1"/>
                  </w14:solidFill>
                </w14:textFill>
              </w:rPr>
              <w:t>本项目DSA手术室拟配备6名</w:t>
            </w:r>
            <w:r>
              <w:rPr>
                <w:rFonts w:hint="eastAsia"/>
                <w:color w:val="000000" w:themeColor="text1"/>
                <w14:textFill>
                  <w14:solidFill>
                    <w14:schemeClr w14:val="tx1"/>
                  </w14:solidFill>
                </w14:textFill>
              </w:rPr>
              <w:t>辐射</w:t>
            </w:r>
            <w:r>
              <w:rPr>
                <w:color w:val="000000" w:themeColor="text1"/>
                <w14:textFill>
                  <w14:solidFill>
                    <w14:schemeClr w14:val="tx1"/>
                  </w14:solidFill>
                </w14:textFill>
              </w:rPr>
              <w:t>工作人员（包含</w:t>
            </w:r>
            <w:r>
              <w:rPr>
                <w:rFonts w:hint="eastAsia"/>
                <w:color w:val="000000" w:themeColor="text1"/>
                <w14:textFill>
                  <w14:solidFill>
                    <w14:schemeClr w14:val="tx1"/>
                  </w14:solidFill>
                </w14:textFill>
              </w:rPr>
              <w:t>介入手术</w:t>
            </w:r>
            <w:r>
              <w:rPr>
                <w:color w:val="000000" w:themeColor="text1"/>
                <w14:textFill>
                  <w14:solidFill>
                    <w14:schemeClr w14:val="tx1"/>
                  </w14:solidFill>
                </w14:textFill>
              </w:rPr>
              <w:t>医师2名、</w:t>
            </w:r>
            <w:r>
              <w:rPr>
                <w:rFonts w:hint="eastAsia"/>
                <w:color w:val="000000" w:themeColor="text1"/>
                <w14:textFill>
                  <w14:solidFill>
                    <w14:schemeClr w14:val="tx1"/>
                  </w14:solidFill>
                </w14:textFill>
              </w:rPr>
              <w:t>医学影像</w:t>
            </w:r>
            <w:r>
              <w:rPr>
                <w:color w:val="000000" w:themeColor="text1"/>
                <w14:textFill>
                  <w14:solidFill>
                    <w14:schemeClr w14:val="tx1"/>
                  </w14:solidFill>
                </w14:textFill>
              </w:rPr>
              <w:t>技师2名、</w:t>
            </w:r>
            <w:r>
              <w:rPr>
                <w:rFonts w:hint="eastAsia"/>
                <w:color w:val="000000" w:themeColor="text1"/>
                <w14:textFill>
                  <w14:solidFill>
                    <w14:schemeClr w14:val="tx1"/>
                  </w14:solidFill>
                </w14:textFill>
              </w:rPr>
              <w:t>介入手术</w:t>
            </w:r>
            <w:r>
              <w:rPr>
                <w:color w:val="000000" w:themeColor="text1"/>
                <w14:textFill>
                  <w14:solidFill>
                    <w14:schemeClr w14:val="tx1"/>
                  </w14:solidFill>
                </w14:textFill>
              </w:rPr>
              <w:t>护士2名）</w:t>
            </w:r>
            <w:r>
              <w:rPr>
                <w:rFonts w:hint="eastAsia"/>
                <w:color w:val="000000" w:themeColor="text1"/>
                <w14:textFill>
                  <w14:solidFill>
                    <w14:schemeClr w14:val="tx1"/>
                  </w14:solidFill>
                </w14:textFill>
              </w:rPr>
              <w:t>，均为医院现有从事相关手术工作的非辐射工作人员。辐</w:t>
            </w:r>
            <w:r>
              <w:rPr>
                <w:rFonts w:hint="eastAsia"/>
              </w:rPr>
              <w:t>射工作人员上岗前、岗中、离岗均应参加职业健康检查，并建立职业健康监护档案。DSA装置投入运行后，每天约进行</w:t>
            </w:r>
            <w:r>
              <w:t>2</w:t>
            </w:r>
            <w:r>
              <w:rPr>
                <w:rFonts w:hint="eastAsia"/>
              </w:rPr>
              <w:t>台手术，一周工作5天，每年工作50周，预计每年最多进行手术操作约</w:t>
            </w:r>
            <w:r>
              <w:t>400</w:t>
            </w:r>
            <w:r>
              <w:rPr>
                <w:rFonts w:hint="eastAsia"/>
              </w:rPr>
              <w:t>例，单台手术DSA曝光时间约15min（透视时间14min+采集时间1min），年累计曝光时间为</w:t>
            </w:r>
            <w:r>
              <w:t>100</w:t>
            </w:r>
            <w:r>
              <w:rPr>
                <w:rFonts w:hint="eastAsia"/>
              </w:rPr>
              <w:t>h。每次介入手术操作由1名手术医生、1名护士、1名控制室操作人员进行操作，该项目辐射工作人员不兼职操作其它放射性设备。</w:t>
            </w:r>
          </w:p>
          <w:p>
            <w:pPr>
              <w:adjustRightInd w:val="0"/>
              <w:snapToGrid w:val="0"/>
              <w:spacing w:line="360" w:lineRule="auto"/>
              <w:ind w:firstLine="480" w:firstLineChars="200"/>
              <w:rPr>
                <w:rFonts w:ascii="宋体" w:hAnsi="宋体" w:cs="宋体"/>
              </w:rPr>
            </w:pPr>
            <w:r>
              <w:rPr>
                <w:rFonts w:hint="eastAsia" w:ascii="宋体" w:hAnsi="宋体" w:cs="宋体"/>
              </w:rPr>
              <w:t>根据《关于进一步优化辐射安全考核的公告》（生态环境部公告2021第9号）第一条：仅从事</w:t>
            </w:r>
            <w:r>
              <w:t>Ⅲ</w:t>
            </w:r>
            <w:r>
              <w:rPr>
                <w:rFonts w:hint="eastAsia" w:ascii="宋体" w:hAnsi="宋体" w:cs="宋体"/>
              </w:rPr>
              <w:t>类射线装置销售、使用活动的辐射工作人员无需参加集中考核，由核技术利用单位自行组织考核。已参加集中考核并取得成绩报告单的，原成绩报告单继续有效。自行考核结果有效期五年，有效期届满的，应当由核技术利用单位组织再培训和考核，环评要求：通用环球中铁西安医院应按照国家核技术利用辐射安全与防护培训平台（http://fushe.mee.gov.cn/）中公布的“Ⅲ类射线装置辐射工作人员试题库及考核规则”选取题目，对本单位仅从事Ⅲ类射线装置使用的辐射工作人员进行考核。考核通过后方可上岗。</w:t>
            </w:r>
          </w:p>
          <w:p>
            <w:pPr>
              <w:adjustRightInd w:val="0"/>
              <w:snapToGrid w:val="0"/>
              <w:spacing w:line="360" w:lineRule="auto"/>
              <w:ind w:firstLine="480" w:firstLineChars="200"/>
              <w:rPr>
                <w:rFonts w:ascii="宋体" w:hAnsi="宋体" w:cs="宋体"/>
              </w:rPr>
            </w:pPr>
            <w:r>
              <w:rPr>
                <w:rFonts w:hint="eastAsia" w:ascii="宋体" w:hAnsi="宋体" w:cs="宋体"/>
              </w:rPr>
              <w:t>本次评价涉及的辐射工作人员共计</w:t>
            </w:r>
            <w:r>
              <w:t>6</w:t>
            </w:r>
            <w:r>
              <w:rPr>
                <w:rFonts w:hint="eastAsia" w:ascii="宋体" w:hAnsi="宋体" w:cs="宋体"/>
              </w:rPr>
              <w:t>人，仅操作本项目的</w:t>
            </w:r>
            <w:r>
              <w:t>DSA</w:t>
            </w:r>
            <w:r>
              <w:rPr>
                <w:rFonts w:hint="eastAsia" w:ascii="宋体" w:hAnsi="宋体" w:cs="宋体"/>
              </w:rPr>
              <w:t>设备，不与其他科室人员岗位交叉。环评要求：医院配备的</w:t>
            </w:r>
            <w:r>
              <w:rPr>
                <w:rFonts w:ascii="宋体" w:hAnsi="宋体" w:cs="宋体"/>
              </w:rPr>
              <w:t>6</w:t>
            </w:r>
            <w:r>
              <w:rPr>
                <w:rFonts w:hint="eastAsia" w:ascii="宋体" w:hAnsi="宋体" w:cs="宋体"/>
              </w:rPr>
              <w:t>名辐射工作人员应参加辐射安全防护培训及考核，取得成绩合格单方可上岗，上岗前进行职业健康检查。</w:t>
            </w:r>
            <w:r>
              <w:rPr>
                <w:color w:val="000000"/>
                <w:kern w:val="0"/>
              </w:rPr>
              <w:t>建立职业健康体检报告档案并存档。</w:t>
            </w:r>
            <w:r>
              <w:rPr>
                <w:rFonts w:hint="eastAsia"/>
                <w:color w:val="000000" w:themeColor="text1"/>
                <w14:textFill>
                  <w14:solidFill>
                    <w14:schemeClr w14:val="tx1"/>
                  </w14:solidFill>
                </w14:textFill>
              </w:rPr>
              <w:t>辐射</w:t>
            </w:r>
            <w:r>
              <w:rPr>
                <w:color w:val="000000" w:themeColor="text1"/>
                <w14:textFill>
                  <w14:solidFill>
                    <w14:schemeClr w14:val="tx1"/>
                  </w14:solidFill>
                </w14:textFill>
              </w:rPr>
              <w:t>工作人员佩戴个人剂量计，</w:t>
            </w:r>
            <w:r>
              <w:rPr>
                <w:rFonts w:hint="eastAsia"/>
                <w:color w:val="000000" w:themeColor="text1"/>
                <w14:textFill>
                  <w14:solidFill>
                    <w14:schemeClr w14:val="tx1"/>
                  </w14:solidFill>
                </w14:textFill>
              </w:rPr>
              <w:t>并每个季度送检，</w:t>
            </w:r>
            <w:r>
              <w:rPr>
                <w:color w:val="000000" w:themeColor="text1"/>
                <w14:textFill>
                  <w14:solidFill>
                    <w14:schemeClr w14:val="tx1"/>
                  </w14:solidFill>
                </w14:textFill>
              </w:rPr>
              <w:t>建立个人剂量档案。</w:t>
            </w:r>
          </w:p>
          <w:p>
            <w:pPr>
              <w:pStyle w:val="2"/>
              <w:ind w:firstLine="482"/>
              <w:rPr>
                <w:b/>
                <w:color w:val="000000"/>
              </w:rPr>
            </w:pPr>
            <w:r>
              <w:rPr>
                <w:b/>
                <w:color w:val="000000"/>
              </w:rPr>
              <w:t>1.6.7</w:t>
            </w:r>
            <w:r>
              <w:rPr>
                <w:rFonts w:hint="eastAsia" w:ascii="宋体" w:hAnsi="宋体" w:eastAsia="宋体" w:cs="宋体"/>
                <w:b/>
                <w:color w:val="000000"/>
              </w:rPr>
              <w:t>项目选址符合性</w:t>
            </w:r>
          </w:p>
          <w:p>
            <w:pPr>
              <w:spacing w:line="360" w:lineRule="auto"/>
              <w:ind w:firstLine="472" w:firstLineChars="200"/>
              <w:rPr>
                <w:color w:val="000000" w:themeColor="text1"/>
                <w14:textFill>
                  <w14:solidFill>
                    <w14:schemeClr w14:val="tx1"/>
                  </w14:solidFill>
                </w14:textFill>
              </w:rPr>
            </w:pPr>
            <w:r>
              <w:rPr>
                <w:spacing w:val="-2"/>
              </w:rPr>
              <w:t>根据医院提供的资料，</w:t>
            </w:r>
            <w:r>
              <w:rPr>
                <w:rFonts w:hint="eastAsia"/>
                <w:spacing w:val="-2"/>
              </w:rPr>
              <w:t>住院部一层改造完成后拟放置</w:t>
            </w:r>
            <w:r>
              <w:rPr>
                <w:rFonts w:hint="eastAsia"/>
                <w:color w:val="000000"/>
                <w:kern w:val="0"/>
              </w:rPr>
              <w:t>数字减影血管造影机（DSA）</w:t>
            </w:r>
            <w:r>
              <w:rPr>
                <w:spacing w:val="-2"/>
              </w:rPr>
              <w:t>的DSA手术室位</w:t>
            </w:r>
            <w:r>
              <w:rPr>
                <w:rFonts w:hint="eastAsia"/>
                <w:spacing w:val="-2"/>
              </w:rPr>
              <w:t>于住院部一层西侧</w:t>
            </w:r>
            <w:r>
              <w:rPr>
                <w:spacing w:val="-2"/>
              </w:rPr>
              <w:t>，出入的</w:t>
            </w:r>
            <w:r>
              <w:rPr>
                <w:spacing w:val="-3"/>
              </w:rPr>
              <w:t>人员主要为医务工作人员和需要手术的患者。</w:t>
            </w:r>
            <w:r>
              <w:rPr>
                <w:rFonts w:hint="eastAsia"/>
                <w:spacing w:val="-3"/>
              </w:rPr>
              <w:t>DSA手术室</w:t>
            </w:r>
            <w:r>
              <w:rPr>
                <w:spacing w:val="-3"/>
              </w:rPr>
              <w:t>四周墙体及防护门在采取本</w:t>
            </w:r>
            <w:r>
              <w:rPr>
                <w:rFonts w:hint="eastAsia"/>
                <w:spacing w:val="-3"/>
              </w:rPr>
              <w:t>次环评</w:t>
            </w:r>
            <w:r>
              <w:rPr>
                <w:spacing w:val="-3"/>
              </w:rPr>
              <w:t>提出的屏蔽措施后能有效</w:t>
            </w:r>
            <w:r>
              <w:rPr>
                <w:rFonts w:hint="eastAsia"/>
                <w:spacing w:val="-3"/>
              </w:rPr>
              <w:t>降低</w:t>
            </w:r>
            <w:r>
              <w:rPr>
                <w:spacing w:val="-3"/>
              </w:rPr>
              <w:t>射线的强度，减少对机房周边公众的</w:t>
            </w:r>
            <w:r>
              <w:rPr>
                <w:spacing w:val="-6"/>
              </w:rPr>
              <w:t>影响</w:t>
            </w:r>
            <w:r>
              <w:rPr>
                <w:rFonts w:hint="eastAsia"/>
                <w:spacing w:val="-6"/>
              </w:rPr>
              <w:t>，</w:t>
            </w:r>
            <w:r>
              <w:rPr>
                <w:spacing w:val="-6"/>
              </w:rPr>
              <w:t>从满足安全治疗和辐射安全与防护的角度来看</w:t>
            </w:r>
            <w:r>
              <w:rPr>
                <w:color w:val="000000" w:themeColor="text1"/>
                <w:spacing w:val="-6"/>
                <w14:textFill>
                  <w14:solidFill>
                    <w14:schemeClr w14:val="tx1"/>
                  </w14:solidFill>
                </w14:textFill>
              </w:rPr>
              <w:t>，在</w:t>
            </w:r>
            <w:r>
              <w:rPr>
                <w:rFonts w:hint="eastAsia"/>
                <w:color w:val="000000" w:themeColor="text1"/>
                <w:spacing w:val="-6"/>
                <w14:textFill>
                  <w14:solidFill>
                    <w14:schemeClr w14:val="tx1"/>
                  </w14:solidFill>
                </w14:textFill>
              </w:rPr>
              <w:t>数字减影血管造影机</w:t>
            </w:r>
            <w:r>
              <w:rPr>
                <w:color w:val="000000" w:themeColor="text1"/>
                <w:spacing w:val="-6"/>
                <w14:textFill>
                  <w14:solidFill>
                    <w14:schemeClr w14:val="tx1"/>
                  </w14:solidFill>
                </w14:textFill>
              </w:rPr>
              <w:t>运行时，可</w:t>
            </w:r>
            <w:r>
              <w:rPr>
                <w:color w:val="000000" w:themeColor="text1"/>
                <w:spacing w:val="-2"/>
                <w14:textFill>
                  <w14:solidFill>
                    <w14:schemeClr w14:val="tx1"/>
                  </w14:solidFill>
                </w14:textFill>
              </w:rPr>
              <w:t>有效减少受照的人群，也有利于射线装置的管理。</w:t>
            </w:r>
          </w:p>
          <w:p>
            <w:pPr>
              <w:spacing w:line="360" w:lineRule="auto"/>
              <w:ind w:firstLine="460" w:firstLineChars="200"/>
              <w:rPr>
                <w:color w:val="000000"/>
              </w:rPr>
            </w:pPr>
            <w:r>
              <w:rPr>
                <w:spacing w:val="-5"/>
              </w:rPr>
              <w:t>综上，项目选址合理。</w:t>
            </w:r>
          </w:p>
          <w:p>
            <w:pPr>
              <w:pStyle w:val="2"/>
              <w:ind w:firstLine="480"/>
              <w:rPr>
                <w:rFonts w:eastAsia="宋体"/>
                <w:color w:val="000000"/>
              </w:rPr>
            </w:pPr>
          </w:p>
        </w:tc>
      </w:tr>
    </w:tbl>
    <w:p>
      <w:pPr>
        <w:pStyle w:val="2"/>
        <w:ind w:firstLine="0" w:firstLineChars="0"/>
        <w:rPr>
          <w:rFonts w:eastAsia="宋体"/>
          <w:color w:val="000000"/>
        </w:rPr>
        <w:sectPr>
          <w:pgSz w:w="11906" w:h="16838"/>
          <w:pgMar w:top="1440" w:right="1440" w:bottom="1440" w:left="1440" w:header="851" w:footer="992" w:gutter="0"/>
          <w:pgBorders>
            <w:top w:val="none" w:sz="0" w:space="0"/>
            <w:left w:val="none" w:sz="0" w:space="0"/>
            <w:bottom w:val="none" w:sz="0" w:space="0"/>
            <w:right w:val="none" w:sz="0" w:space="0"/>
          </w:pgBorders>
          <w:pgNumType w:fmt="numberInDash"/>
          <w:cols w:space="720" w:num="1"/>
          <w:docGrid w:type="lines" w:linePitch="334" w:charSpace="0"/>
        </w:sectPr>
      </w:pPr>
    </w:p>
    <w:p>
      <w:pPr>
        <w:pStyle w:val="3"/>
        <w:rPr>
          <w:color w:val="000000"/>
          <w:sz w:val="28"/>
          <w:szCs w:val="28"/>
        </w:rPr>
      </w:pPr>
      <w:bookmarkStart w:id="6" w:name="_Toc18242"/>
      <w:r>
        <w:rPr>
          <w:color w:val="000000"/>
          <w:sz w:val="28"/>
          <w:szCs w:val="28"/>
        </w:rPr>
        <w:t>表2 放射源</w:t>
      </w:r>
      <w:bookmarkEnd w:id="6"/>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273"/>
        <w:gridCol w:w="2685"/>
        <w:gridCol w:w="1273"/>
        <w:gridCol w:w="1412"/>
        <w:gridCol w:w="1387"/>
        <w:gridCol w:w="1635"/>
        <w:gridCol w:w="2970"/>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813" w:type="dxa"/>
            <w:tcBorders>
              <w:bottom w:val="single" w:color="auto" w:sz="4" w:space="0"/>
            </w:tcBorders>
            <w:vAlign w:val="center"/>
          </w:tcPr>
          <w:p>
            <w:pPr>
              <w:spacing w:line="290" w:lineRule="exact"/>
              <w:jc w:val="center"/>
              <w:rPr>
                <w:bCs/>
                <w:color w:val="000000"/>
              </w:rPr>
            </w:pPr>
            <w:r>
              <w:rPr>
                <w:bCs/>
                <w:color w:val="000000"/>
              </w:rPr>
              <w:t>序号</w:t>
            </w:r>
          </w:p>
        </w:tc>
        <w:tc>
          <w:tcPr>
            <w:tcW w:w="1273" w:type="dxa"/>
            <w:tcBorders>
              <w:bottom w:val="single" w:color="auto" w:sz="4" w:space="0"/>
            </w:tcBorders>
            <w:vAlign w:val="center"/>
          </w:tcPr>
          <w:p>
            <w:pPr>
              <w:spacing w:line="290" w:lineRule="exact"/>
              <w:jc w:val="center"/>
              <w:rPr>
                <w:bCs/>
                <w:color w:val="000000"/>
              </w:rPr>
            </w:pPr>
            <w:r>
              <w:rPr>
                <w:bCs/>
                <w:color w:val="000000"/>
              </w:rPr>
              <w:t>核素名称</w:t>
            </w:r>
          </w:p>
        </w:tc>
        <w:tc>
          <w:tcPr>
            <w:tcW w:w="2685" w:type="dxa"/>
            <w:tcBorders>
              <w:bottom w:val="single" w:color="auto" w:sz="4" w:space="0"/>
            </w:tcBorders>
            <w:vAlign w:val="center"/>
          </w:tcPr>
          <w:p>
            <w:pPr>
              <w:spacing w:line="290" w:lineRule="exact"/>
              <w:ind w:firstLine="350" w:firstLineChars="146"/>
              <w:jc w:val="center"/>
              <w:rPr>
                <w:bCs/>
                <w:color w:val="000000"/>
                <w:spacing w:val="-20"/>
              </w:rPr>
            </w:pPr>
            <w:r>
              <w:rPr>
                <w:bCs/>
                <w:color w:val="000000"/>
              </w:rPr>
              <w:t>总</w:t>
            </w:r>
            <w:r>
              <w:rPr>
                <w:bCs/>
                <w:color w:val="000000"/>
                <w:spacing w:val="-20"/>
              </w:rPr>
              <w:t>活度（Bq）/</w:t>
            </w:r>
          </w:p>
          <w:p>
            <w:pPr>
              <w:spacing w:line="290" w:lineRule="exact"/>
              <w:ind w:firstLine="294" w:firstLineChars="147"/>
              <w:jc w:val="center"/>
              <w:rPr>
                <w:bCs/>
                <w:color w:val="000000"/>
              </w:rPr>
            </w:pPr>
            <w:r>
              <w:rPr>
                <w:bCs/>
                <w:color w:val="000000"/>
                <w:spacing w:val="-20"/>
              </w:rPr>
              <w:t>活度（Bq）×枚数</w:t>
            </w:r>
          </w:p>
        </w:tc>
        <w:tc>
          <w:tcPr>
            <w:tcW w:w="1273" w:type="dxa"/>
            <w:tcBorders>
              <w:bottom w:val="single" w:color="auto" w:sz="4" w:space="0"/>
            </w:tcBorders>
            <w:vAlign w:val="center"/>
          </w:tcPr>
          <w:p>
            <w:pPr>
              <w:spacing w:line="290" w:lineRule="exact"/>
              <w:jc w:val="center"/>
              <w:rPr>
                <w:bCs/>
                <w:color w:val="000000"/>
              </w:rPr>
            </w:pPr>
            <w:r>
              <w:rPr>
                <w:bCs/>
                <w:color w:val="000000"/>
              </w:rPr>
              <w:t>类别</w:t>
            </w:r>
          </w:p>
        </w:tc>
        <w:tc>
          <w:tcPr>
            <w:tcW w:w="1412" w:type="dxa"/>
            <w:tcBorders>
              <w:bottom w:val="single" w:color="auto" w:sz="4" w:space="0"/>
            </w:tcBorders>
            <w:vAlign w:val="center"/>
          </w:tcPr>
          <w:p>
            <w:pPr>
              <w:spacing w:line="290" w:lineRule="exact"/>
              <w:jc w:val="center"/>
              <w:rPr>
                <w:bCs/>
                <w:color w:val="000000"/>
              </w:rPr>
            </w:pPr>
            <w:r>
              <w:rPr>
                <w:bCs/>
                <w:color w:val="000000"/>
              </w:rPr>
              <w:t>活动类别</w:t>
            </w:r>
          </w:p>
        </w:tc>
        <w:tc>
          <w:tcPr>
            <w:tcW w:w="1387" w:type="dxa"/>
            <w:tcBorders>
              <w:bottom w:val="single" w:color="auto" w:sz="4" w:space="0"/>
            </w:tcBorders>
            <w:vAlign w:val="center"/>
          </w:tcPr>
          <w:p>
            <w:pPr>
              <w:spacing w:line="290" w:lineRule="exact"/>
              <w:jc w:val="center"/>
              <w:rPr>
                <w:bCs/>
                <w:color w:val="000000"/>
              </w:rPr>
            </w:pPr>
            <w:r>
              <w:rPr>
                <w:bCs/>
                <w:color w:val="000000"/>
              </w:rPr>
              <w:t>用途</w:t>
            </w:r>
          </w:p>
        </w:tc>
        <w:tc>
          <w:tcPr>
            <w:tcW w:w="1635" w:type="dxa"/>
            <w:tcBorders>
              <w:bottom w:val="single" w:color="auto" w:sz="4" w:space="0"/>
            </w:tcBorders>
            <w:vAlign w:val="center"/>
          </w:tcPr>
          <w:p>
            <w:pPr>
              <w:spacing w:line="290" w:lineRule="exact"/>
              <w:jc w:val="center"/>
              <w:rPr>
                <w:bCs/>
                <w:color w:val="000000"/>
              </w:rPr>
            </w:pPr>
            <w:r>
              <w:rPr>
                <w:bCs/>
                <w:color w:val="000000"/>
              </w:rPr>
              <w:t>使用场所</w:t>
            </w:r>
          </w:p>
        </w:tc>
        <w:tc>
          <w:tcPr>
            <w:tcW w:w="2970" w:type="dxa"/>
            <w:tcBorders>
              <w:bottom w:val="single" w:color="auto" w:sz="4" w:space="0"/>
            </w:tcBorders>
            <w:vAlign w:val="center"/>
          </w:tcPr>
          <w:p>
            <w:pPr>
              <w:spacing w:line="290" w:lineRule="exact"/>
              <w:jc w:val="center"/>
              <w:rPr>
                <w:bCs/>
                <w:color w:val="000000"/>
              </w:rPr>
            </w:pPr>
            <w:r>
              <w:rPr>
                <w:bCs/>
                <w:color w:val="000000"/>
              </w:rPr>
              <w:t>贮存方式与地点</w:t>
            </w:r>
          </w:p>
        </w:tc>
        <w:tc>
          <w:tcPr>
            <w:tcW w:w="726" w:type="dxa"/>
            <w:tcBorders>
              <w:bottom w:val="single" w:color="auto" w:sz="4" w:space="0"/>
            </w:tcBorders>
            <w:vAlign w:val="center"/>
          </w:tcPr>
          <w:p>
            <w:pPr>
              <w:spacing w:line="290" w:lineRule="exact"/>
              <w:ind w:left="-120" w:leftChars="-50" w:right="-120" w:rightChars="-50"/>
              <w:jc w:val="center"/>
              <w:rPr>
                <w:bCs/>
                <w:color w:val="000000"/>
              </w:rPr>
            </w:pPr>
            <w:r>
              <w:rPr>
                <w:bCs/>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813" w:type="dxa"/>
            <w:vAlign w:val="center"/>
          </w:tcPr>
          <w:p>
            <w:pPr>
              <w:spacing w:line="290" w:lineRule="exact"/>
              <w:jc w:val="center"/>
              <w:rPr>
                <w:color w:val="000000"/>
              </w:rPr>
            </w:pPr>
            <w:r>
              <w:rPr>
                <w:color w:val="000000"/>
              </w:rPr>
              <w:t>/</w:t>
            </w:r>
          </w:p>
        </w:tc>
        <w:tc>
          <w:tcPr>
            <w:tcW w:w="1273" w:type="dxa"/>
            <w:vAlign w:val="center"/>
          </w:tcPr>
          <w:p>
            <w:pPr>
              <w:spacing w:line="290" w:lineRule="exact"/>
              <w:jc w:val="center"/>
              <w:rPr>
                <w:color w:val="000000"/>
              </w:rPr>
            </w:pPr>
            <w:r>
              <w:rPr>
                <w:color w:val="000000"/>
              </w:rPr>
              <w:t>/</w:t>
            </w:r>
          </w:p>
        </w:tc>
        <w:tc>
          <w:tcPr>
            <w:tcW w:w="2685" w:type="dxa"/>
            <w:vAlign w:val="center"/>
          </w:tcPr>
          <w:p>
            <w:pPr>
              <w:spacing w:line="290" w:lineRule="exact"/>
              <w:jc w:val="center"/>
              <w:rPr>
                <w:color w:val="000000"/>
              </w:rPr>
            </w:pPr>
            <w:r>
              <w:rPr>
                <w:color w:val="000000"/>
              </w:rPr>
              <w:t>/</w:t>
            </w:r>
          </w:p>
        </w:tc>
        <w:tc>
          <w:tcPr>
            <w:tcW w:w="1273" w:type="dxa"/>
            <w:vAlign w:val="center"/>
          </w:tcPr>
          <w:p>
            <w:pPr>
              <w:spacing w:line="290" w:lineRule="exact"/>
              <w:jc w:val="center"/>
              <w:rPr>
                <w:color w:val="000000"/>
              </w:rPr>
            </w:pPr>
            <w:r>
              <w:rPr>
                <w:color w:val="000000"/>
              </w:rPr>
              <w:t>/</w:t>
            </w:r>
          </w:p>
        </w:tc>
        <w:tc>
          <w:tcPr>
            <w:tcW w:w="1412" w:type="dxa"/>
            <w:vAlign w:val="center"/>
          </w:tcPr>
          <w:p>
            <w:pPr>
              <w:spacing w:line="290" w:lineRule="exact"/>
              <w:jc w:val="center"/>
              <w:rPr>
                <w:color w:val="000000"/>
              </w:rPr>
            </w:pPr>
            <w:r>
              <w:rPr>
                <w:color w:val="000000"/>
              </w:rPr>
              <w:t>/</w:t>
            </w:r>
          </w:p>
        </w:tc>
        <w:tc>
          <w:tcPr>
            <w:tcW w:w="1387" w:type="dxa"/>
            <w:vAlign w:val="center"/>
          </w:tcPr>
          <w:p>
            <w:pPr>
              <w:spacing w:line="290" w:lineRule="exact"/>
              <w:jc w:val="center"/>
              <w:rPr>
                <w:color w:val="000000"/>
              </w:rPr>
            </w:pPr>
            <w:r>
              <w:rPr>
                <w:color w:val="000000"/>
              </w:rPr>
              <w:t>/</w:t>
            </w:r>
          </w:p>
        </w:tc>
        <w:tc>
          <w:tcPr>
            <w:tcW w:w="1635" w:type="dxa"/>
            <w:vAlign w:val="center"/>
          </w:tcPr>
          <w:p>
            <w:pPr>
              <w:spacing w:line="290" w:lineRule="exact"/>
              <w:jc w:val="center"/>
              <w:rPr>
                <w:color w:val="000000"/>
              </w:rPr>
            </w:pPr>
            <w:r>
              <w:rPr>
                <w:color w:val="000000"/>
              </w:rPr>
              <w:t>/</w:t>
            </w:r>
          </w:p>
        </w:tc>
        <w:tc>
          <w:tcPr>
            <w:tcW w:w="2970" w:type="dxa"/>
            <w:vAlign w:val="center"/>
          </w:tcPr>
          <w:p>
            <w:pPr>
              <w:spacing w:line="290" w:lineRule="exact"/>
              <w:jc w:val="center"/>
              <w:rPr>
                <w:color w:val="000000"/>
              </w:rPr>
            </w:pPr>
            <w:r>
              <w:rPr>
                <w:color w:val="000000"/>
              </w:rPr>
              <w:t>/</w:t>
            </w:r>
          </w:p>
        </w:tc>
        <w:tc>
          <w:tcPr>
            <w:tcW w:w="726" w:type="dxa"/>
            <w:vAlign w:val="center"/>
          </w:tcPr>
          <w:p>
            <w:pPr>
              <w:spacing w:line="290" w:lineRule="exact"/>
              <w:ind w:left="-120" w:leftChars="-50" w:right="-120" w:rightChars="-50"/>
              <w:jc w:val="center"/>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813" w:type="dxa"/>
            <w:vAlign w:val="center"/>
          </w:tcPr>
          <w:p>
            <w:pPr>
              <w:spacing w:line="290" w:lineRule="exact"/>
              <w:jc w:val="center"/>
              <w:rPr>
                <w:color w:val="000000"/>
              </w:rPr>
            </w:pPr>
          </w:p>
        </w:tc>
        <w:tc>
          <w:tcPr>
            <w:tcW w:w="1273" w:type="dxa"/>
            <w:vAlign w:val="center"/>
          </w:tcPr>
          <w:p>
            <w:pPr>
              <w:spacing w:line="290" w:lineRule="exact"/>
              <w:jc w:val="center"/>
              <w:rPr>
                <w:color w:val="000000"/>
              </w:rPr>
            </w:pPr>
          </w:p>
        </w:tc>
        <w:tc>
          <w:tcPr>
            <w:tcW w:w="2685" w:type="dxa"/>
            <w:vAlign w:val="center"/>
          </w:tcPr>
          <w:p>
            <w:pPr>
              <w:spacing w:line="290" w:lineRule="exact"/>
              <w:jc w:val="center"/>
              <w:rPr>
                <w:color w:val="000000"/>
              </w:rPr>
            </w:pPr>
          </w:p>
        </w:tc>
        <w:tc>
          <w:tcPr>
            <w:tcW w:w="1273" w:type="dxa"/>
            <w:vAlign w:val="center"/>
          </w:tcPr>
          <w:p>
            <w:pPr>
              <w:spacing w:line="290" w:lineRule="exact"/>
              <w:jc w:val="center"/>
              <w:rPr>
                <w:color w:val="000000"/>
              </w:rPr>
            </w:pPr>
          </w:p>
        </w:tc>
        <w:tc>
          <w:tcPr>
            <w:tcW w:w="1412" w:type="dxa"/>
            <w:vAlign w:val="center"/>
          </w:tcPr>
          <w:p>
            <w:pPr>
              <w:spacing w:line="290" w:lineRule="exact"/>
              <w:jc w:val="center"/>
              <w:rPr>
                <w:color w:val="000000"/>
              </w:rPr>
            </w:pPr>
          </w:p>
        </w:tc>
        <w:tc>
          <w:tcPr>
            <w:tcW w:w="1387" w:type="dxa"/>
            <w:vAlign w:val="center"/>
          </w:tcPr>
          <w:p>
            <w:pPr>
              <w:spacing w:line="290" w:lineRule="exact"/>
              <w:jc w:val="center"/>
              <w:rPr>
                <w:color w:val="000000"/>
              </w:rPr>
            </w:pPr>
          </w:p>
        </w:tc>
        <w:tc>
          <w:tcPr>
            <w:tcW w:w="1635" w:type="dxa"/>
            <w:vAlign w:val="center"/>
          </w:tcPr>
          <w:p>
            <w:pPr>
              <w:spacing w:line="290" w:lineRule="exact"/>
              <w:jc w:val="center"/>
              <w:rPr>
                <w:color w:val="000000"/>
              </w:rPr>
            </w:pPr>
          </w:p>
        </w:tc>
        <w:tc>
          <w:tcPr>
            <w:tcW w:w="2970" w:type="dxa"/>
            <w:vAlign w:val="center"/>
          </w:tcPr>
          <w:p>
            <w:pPr>
              <w:spacing w:line="290" w:lineRule="exact"/>
              <w:jc w:val="center"/>
              <w:rPr>
                <w:color w:val="000000"/>
              </w:rPr>
            </w:pPr>
          </w:p>
        </w:tc>
        <w:tc>
          <w:tcPr>
            <w:tcW w:w="726" w:type="dxa"/>
            <w:vAlign w:val="center"/>
          </w:tcPr>
          <w:p>
            <w:pPr>
              <w:spacing w:line="290" w:lineRule="exact"/>
              <w:ind w:left="-120" w:leftChars="-50" w:right="-120" w:rightChars="-5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813" w:type="dxa"/>
            <w:vAlign w:val="center"/>
          </w:tcPr>
          <w:p>
            <w:pPr>
              <w:spacing w:line="290" w:lineRule="exact"/>
              <w:jc w:val="center"/>
              <w:rPr>
                <w:color w:val="000000"/>
              </w:rPr>
            </w:pPr>
          </w:p>
        </w:tc>
        <w:tc>
          <w:tcPr>
            <w:tcW w:w="1273" w:type="dxa"/>
            <w:vAlign w:val="center"/>
          </w:tcPr>
          <w:p>
            <w:pPr>
              <w:spacing w:line="290" w:lineRule="exact"/>
              <w:jc w:val="center"/>
              <w:rPr>
                <w:color w:val="000000"/>
              </w:rPr>
            </w:pPr>
          </w:p>
        </w:tc>
        <w:tc>
          <w:tcPr>
            <w:tcW w:w="2685" w:type="dxa"/>
            <w:vAlign w:val="center"/>
          </w:tcPr>
          <w:p>
            <w:pPr>
              <w:spacing w:line="290" w:lineRule="exact"/>
              <w:jc w:val="center"/>
              <w:rPr>
                <w:color w:val="000000"/>
              </w:rPr>
            </w:pPr>
          </w:p>
        </w:tc>
        <w:tc>
          <w:tcPr>
            <w:tcW w:w="1273" w:type="dxa"/>
            <w:vAlign w:val="center"/>
          </w:tcPr>
          <w:p>
            <w:pPr>
              <w:spacing w:line="290" w:lineRule="exact"/>
              <w:jc w:val="center"/>
              <w:rPr>
                <w:color w:val="000000"/>
              </w:rPr>
            </w:pPr>
          </w:p>
        </w:tc>
        <w:tc>
          <w:tcPr>
            <w:tcW w:w="1412" w:type="dxa"/>
            <w:vAlign w:val="center"/>
          </w:tcPr>
          <w:p>
            <w:pPr>
              <w:spacing w:line="290" w:lineRule="exact"/>
              <w:jc w:val="center"/>
              <w:rPr>
                <w:color w:val="000000"/>
              </w:rPr>
            </w:pPr>
          </w:p>
        </w:tc>
        <w:tc>
          <w:tcPr>
            <w:tcW w:w="1387" w:type="dxa"/>
            <w:vAlign w:val="center"/>
          </w:tcPr>
          <w:p>
            <w:pPr>
              <w:spacing w:line="290" w:lineRule="exact"/>
              <w:jc w:val="center"/>
              <w:rPr>
                <w:color w:val="000000"/>
              </w:rPr>
            </w:pPr>
          </w:p>
        </w:tc>
        <w:tc>
          <w:tcPr>
            <w:tcW w:w="1635" w:type="dxa"/>
            <w:vAlign w:val="center"/>
          </w:tcPr>
          <w:p>
            <w:pPr>
              <w:spacing w:line="290" w:lineRule="exact"/>
              <w:jc w:val="center"/>
              <w:rPr>
                <w:color w:val="000000"/>
              </w:rPr>
            </w:pPr>
          </w:p>
        </w:tc>
        <w:tc>
          <w:tcPr>
            <w:tcW w:w="2970" w:type="dxa"/>
            <w:vAlign w:val="center"/>
          </w:tcPr>
          <w:p>
            <w:pPr>
              <w:spacing w:line="290" w:lineRule="exact"/>
              <w:jc w:val="center"/>
              <w:rPr>
                <w:color w:val="000000"/>
              </w:rPr>
            </w:pPr>
          </w:p>
        </w:tc>
        <w:tc>
          <w:tcPr>
            <w:tcW w:w="726" w:type="dxa"/>
            <w:vAlign w:val="center"/>
          </w:tcPr>
          <w:p>
            <w:pPr>
              <w:spacing w:line="290" w:lineRule="exact"/>
              <w:ind w:left="-120" w:leftChars="-50" w:right="-120" w:rightChars="-5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813" w:type="dxa"/>
            <w:vAlign w:val="center"/>
          </w:tcPr>
          <w:p>
            <w:pPr>
              <w:spacing w:line="290" w:lineRule="exact"/>
              <w:jc w:val="center"/>
              <w:rPr>
                <w:color w:val="000000"/>
              </w:rPr>
            </w:pPr>
          </w:p>
        </w:tc>
        <w:tc>
          <w:tcPr>
            <w:tcW w:w="1273" w:type="dxa"/>
            <w:vAlign w:val="center"/>
          </w:tcPr>
          <w:p>
            <w:pPr>
              <w:spacing w:line="290" w:lineRule="exact"/>
              <w:jc w:val="center"/>
              <w:rPr>
                <w:color w:val="000000"/>
              </w:rPr>
            </w:pPr>
          </w:p>
        </w:tc>
        <w:tc>
          <w:tcPr>
            <w:tcW w:w="2685" w:type="dxa"/>
            <w:vAlign w:val="center"/>
          </w:tcPr>
          <w:p>
            <w:pPr>
              <w:spacing w:line="290" w:lineRule="exact"/>
              <w:jc w:val="center"/>
              <w:rPr>
                <w:color w:val="000000"/>
              </w:rPr>
            </w:pPr>
          </w:p>
        </w:tc>
        <w:tc>
          <w:tcPr>
            <w:tcW w:w="1273" w:type="dxa"/>
            <w:vAlign w:val="center"/>
          </w:tcPr>
          <w:p>
            <w:pPr>
              <w:spacing w:line="290" w:lineRule="exact"/>
              <w:jc w:val="center"/>
              <w:rPr>
                <w:color w:val="000000"/>
              </w:rPr>
            </w:pPr>
          </w:p>
        </w:tc>
        <w:tc>
          <w:tcPr>
            <w:tcW w:w="1412" w:type="dxa"/>
            <w:vAlign w:val="center"/>
          </w:tcPr>
          <w:p>
            <w:pPr>
              <w:spacing w:line="290" w:lineRule="exact"/>
              <w:jc w:val="center"/>
              <w:rPr>
                <w:color w:val="000000"/>
              </w:rPr>
            </w:pPr>
          </w:p>
        </w:tc>
        <w:tc>
          <w:tcPr>
            <w:tcW w:w="1387" w:type="dxa"/>
            <w:vAlign w:val="center"/>
          </w:tcPr>
          <w:p>
            <w:pPr>
              <w:spacing w:line="290" w:lineRule="exact"/>
              <w:jc w:val="center"/>
              <w:rPr>
                <w:color w:val="000000"/>
              </w:rPr>
            </w:pPr>
          </w:p>
        </w:tc>
        <w:tc>
          <w:tcPr>
            <w:tcW w:w="1635" w:type="dxa"/>
            <w:vAlign w:val="center"/>
          </w:tcPr>
          <w:p>
            <w:pPr>
              <w:spacing w:line="290" w:lineRule="exact"/>
              <w:jc w:val="center"/>
              <w:rPr>
                <w:color w:val="000000"/>
              </w:rPr>
            </w:pPr>
          </w:p>
        </w:tc>
        <w:tc>
          <w:tcPr>
            <w:tcW w:w="2970" w:type="dxa"/>
            <w:vAlign w:val="center"/>
          </w:tcPr>
          <w:p>
            <w:pPr>
              <w:spacing w:line="290" w:lineRule="exact"/>
              <w:jc w:val="center"/>
              <w:rPr>
                <w:color w:val="000000"/>
              </w:rPr>
            </w:pPr>
          </w:p>
        </w:tc>
        <w:tc>
          <w:tcPr>
            <w:tcW w:w="726" w:type="dxa"/>
            <w:vAlign w:val="center"/>
          </w:tcPr>
          <w:p>
            <w:pPr>
              <w:spacing w:line="290" w:lineRule="exact"/>
              <w:ind w:left="-120" w:leftChars="-50" w:right="-120" w:rightChars="-5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813" w:type="dxa"/>
            <w:vAlign w:val="center"/>
          </w:tcPr>
          <w:p>
            <w:pPr>
              <w:spacing w:line="290" w:lineRule="exact"/>
              <w:jc w:val="center"/>
              <w:rPr>
                <w:color w:val="000000"/>
              </w:rPr>
            </w:pPr>
          </w:p>
        </w:tc>
        <w:tc>
          <w:tcPr>
            <w:tcW w:w="1273" w:type="dxa"/>
            <w:vAlign w:val="center"/>
          </w:tcPr>
          <w:p>
            <w:pPr>
              <w:spacing w:line="290" w:lineRule="exact"/>
              <w:jc w:val="center"/>
              <w:rPr>
                <w:color w:val="000000"/>
              </w:rPr>
            </w:pPr>
          </w:p>
        </w:tc>
        <w:tc>
          <w:tcPr>
            <w:tcW w:w="2685" w:type="dxa"/>
            <w:vAlign w:val="center"/>
          </w:tcPr>
          <w:p>
            <w:pPr>
              <w:spacing w:line="290" w:lineRule="exact"/>
              <w:jc w:val="center"/>
              <w:rPr>
                <w:color w:val="000000"/>
              </w:rPr>
            </w:pPr>
          </w:p>
        </w:tc>
        <w:tc>
          <w:tcPr>
            <w:tcW w:w="1273" w:type="dxa"/>
            <w:vAlign w:val="center"/>
          </w:tcPr>
          <w:p>
            <w:pPr>
              <w:spacing w:line="290" w:lineRule="exact"/>
              <w:jc w:val="center"/>
              <w:rPr>
                <w:color w:val="000000"/>
              </w:rPr>
            </w:pPr>
          </w:p>
        </w:tc>
        <w:tc>
          <w:tcPr>
            <w:tcW w:w="1412" w:type="dxa"/>
            <w:vAlign w:val="center"/>
          </w:tcPr>
          <w:p>
            <w:pPr>
              <w:spacing w:line="290" w:lineRule="exact"/>
              <w:jc w:val="center"/>
              <w:rPr>
                <w:color w:val="000000"/>
              </w:rPr>
            </w:pPr>
          </w:p>
        </w:tc>
        <w:tc>
          <w:tcPr>
            <w:tcW w:w="1387" w:type="dxa"/>
            <w:vAlign w:val="center"/>
          </w:tcPr>
          <w:p>
            <w:pPr>
              <w:spacing w:line="290" w:lineRule="exact"/>
              <w:jc w:val="center"/>
              <w:rPr>
                <w:color w:val="000000"/>
              </w:rPr>
            </w:pPr>
          </w:p>
        </w:tc>
        <w:tc>
          <w:tcPr>
            <w:tcW w:w="1635" w:type="dxa"/>
            <w:vAlign w:val="center"/>
          </w:tcPr>
          <w:p>
            <w:pPr>
              <w:spacing w:line="290" w:lineRule="exact"/>
              <w:jc w:val="center"/>
              <w:rPr>
                <w:color w:val="000000"/>
              </w:rPr>
            </w:pPr>
          </w:p>
        </w:tc>
        <w:tc>
          <w:tcPr>
            <w:tcW w:w="2970" w:type="dxa"/>
            <w:vAlign w:val="center"/>
          </w:tcPr>
          <w:p>
            <w:pPr>
              <w:spacing w:line="290" w:lineRule="exact"/>
              <w:jc w:val="center"/>
              <w:rPr>
                <w:color w:val="000000"/>
              </w:rPr>
            </w:pPr>
          </w:p>
        </w:tc>
        <w:tc>
          <w:tcPr>
            <w:tcW w:w="726" w:type="dxa"/>
            <w:vAlign w:val="center"/>
          </w:tcPr>
          <w:p>
            <w:pPr>
              <w:spacing w:line="290" w:lineRule="exact"/>
              <w:ind w:left="-120" w:leftChars="-50" w:right="-120" w:rightChars="-5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813" w:type="dxa"/>
            <w:vAlign w:val="center"/>
          </w:tcPr>
          <w:p>
            <w:pPr>
              <w:spacing w:line="290" w:lineRule="exact"/>
              <w:jc w:val="center"/>
              <w:rPr>
                <w:color w:val="000000"/>
              </w:rPr>
            </w:pPr>
          </w:p>
        </w:tc>
        <w:tc>
          <w:tcPr>
            <w:tcW w:w="1273" w:type="dxa"/>
            <w:vAlign w:val="center"/>
          </w:tcPr>
          <w:p>
            <w:pPr>
              <w:spacing w:line="290" w:lineRule="exact"/>
              <w:jc w:val="center"/>
              <w:rPr>
                <w:color w:val="000000"/>
              </w:rPr>
            </w:pPr>
          </w:p>
        </w:tc>
        <w:tc>
          <w:tcPr>
            <w:tcW w:w="2685" w:type="dxa"/>
            <w:vAlign w:val="center"/>
          </w:tcPr>
          <w:p>
            <w:pPr>
              <w:spacing w:line="290" w:lineRule="exact"/>
              <w:jc w:val="center"/>
              <w:rPr>
                <w:color w:val="000000"/>
              </w:rPr>
            </w:pPr>
          </w:p>
        </w:tc>
        <w:tc>
          <w:tcPr>
            <w:tcW w:w="1273" w:type="dxa"/>
            <w:vAlign w:val="center"/>
          </w:tcPr>
          <w:p>
            <w:pPr>
              <w:spacing w:line="290" w:lineRule="exact"/>
              <w:jc w:val="center"/>
              <w:rPr>
                <w:color w:val="000000"/>
              </w:rPr>
            </w:pPr>
          </w:p>
        </w:tc>
        <w:tc>
          <w:tcPr>
            <w:tcW w:w="1412" w:type="dxa"/>
            <w:vAlign w:val="center"/>
          </w:tcPr>
          <w:p>
            <w:pPr>
              <w:spacing w:line="290" w:lineRule="exact"/>
              <w:jc w:val="center"/>
              <w:rPr>
                <w:color w:val="000000"/>
              </w:rPr>
            </w:pPr>
          </w:p>
        </w:tc>
        <w:tc>
          <w:tcPr>
            <w:tcW w:w="1387" w:type="dxa"/>
            <w:vAlign w:val="center"/>
          </w:tcPr>
          <w:p>
            <w:pPr>
              <w:spacing w:line="290" w:lineRule="exact"/>
              <w:jc w:val="center"/>
              <w:rPr>
                <w:color w:val="000000"/>
              </w:rPr>
            </w:pPr>
          </w:p>
        </w:tc>
        <w:tc>
          <w:tcPr>
            <w:tcW w:w="1635" w:type="dxa"/>
            <w:vAlign w:val="center"/>
          </w:tcPr>
          <w:p>
            <w:pPr>
              <w:spacing w:line="290" w:lineRule="exact"/>
              <w:jc w:val="center"/>
              <w:rPr>
                <w:color w:val="000000"/>
              </w:rPr>
            </w:pPr>
          </w:p>
        </w:tc>
        <w:tc>
          <w:tcPr>
            <w:tcW w:w="2970" w:type="dxa"/>
            <w:vAlign w:val="center"/>
          </w:tcPr>
          <w:p>
            <w:pPr>
              <w:spacing w:line="290" w:lineRule="exact"/>
              <w:jc w:val="center"/>
              <w:rPr>
                <w:color w:val="000000"/>
              </w:rPr>
            </w:pPr>
          </w:p>
        </w:tc>
        <w:tc>
          <w:tcPr>
            <w:tcW w:w="726" w:type="dxa"/>
            <w:vAlign w:val="center"/>
          </w:tcPr>
          <w:p>
            <w:pPr>
              <w:spacing w:line="290" w:lineRule="exact"/>
              <w:ind w:left="-120" w:leftChars="-50" w:right="-120" w:rightChars="-50"/>
              <w:jc w:val="center"/>
              <w:rPr>
                <w:color w:val="000000"/>
              </w:rPr>
            </w:pPr>
          </w:p>
        </w:tc>
      </w:tr>
    </w:tbl>
    <w:p>
      <w:pPr>
        <w:spacing w:line="292" w:lineRule="exact"/>
        <w:ind w:leftChars="-7" w:hanging="16" w:hangingChars="7"/>
        <w:rPr>
          <w:color w:val="000000"/>
        </w:rPr>
      </w:pPr>
      <w:r>
        <w:rPr>
          <w:color w:val="000000"/>
        </w:rPr>
        <w:t>注: 1.放射源包括放射性中子源，对其要说明是何种核素以及生产的中子流强度（n/s）。</w:t>
      </w:r>
    </w:p>
    <w:p>
      <w:pPr>
        <w:pStyle w:val="3"/>
        <w:rPr>
          <w:color w:val="000000"/>
          <w:sz w:val="28"/>
          <w:szCs w:val="28"/>
        </w:rPr>
      </w:pPr>
      <w:bookmarkStart w:id="7" w:name="_Toc501805935"/>
      <w:bookmarkStart w:id="8" w:name="_Toc19448"/>
      <w:r>
        <w:rPr>
          <w:color w:val="000000"/>
          <w:sz w:val="28"/>
          <w:szCs w:val="28"/>
        </w:rPr>
        <w:t>表3 非密封放射性物质</w:t>
      </w:r>
      <w:bookmarkEnd w:id="7"/>
      <w:bookmarkEnd w:id="8"/>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250"/>
        <w:gridCol w:w="1318"/>
        <w:gridCol w:w="1097"/>
        <w:gridCol w:w="1474"/>
        <w:gridCol w:w="1474"/>
        <w:gridCol w:w="1264"/>
        <w:gridCol w:w="6"/>
        <w:gridCol w:w="1120"/>
        <w:gridCol w:w="1208"/>
        <w:gridCol w:w="1239"/>
        <w:gridCol w:w="1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94" w:type="dxa"/>
            <w:tcBorders>
              <w:bottom w:val="single" w:color="auto" w:sz="4" w:space="0"/>
            </w:tcBorders>
            <w:vAlign w:val="center"/>
          </w:tcPr>
          <w:p>
            <w:pPr>
              <w:spacing w:line="290" w:lineRule="exact"/>
              <w:jc w:val="center"/>
              <w:rPr>
                <w:bCs/>
                <w:color w:val="000000"/>
              </w:rPr>
            </w:pPr>
            <w:r>
              <w:rPr>
                <w:bCs/>
                <w:color w:val="000000"/>
              </w:rPr>
              <w:t>序号</w:t>
            </w:r>
          </w:p>
        </w:tc>
        <w:tc>
          <w:tcPr>
            <w:tcW w:w="1250" w:type="dxa"/>
            <w:tcBorders>
              <w:bottom w:val="single" w:color="auto" w:sz="4" w:space="0"/>
            </w:tcBorders>
            <w:vAlign w:val="center"/>
          </w:tcPr>
          <w:p>
            <w:pPr>
              <w:spacing w:line="290" w:lineRule="exact"/>
              <w:jc w:val="center"/>
              <w:rPr>
                <w:bCs/>
                <w:color w:val="000000"/>
              </w:rPr>
            </w:pPr>
            <w:r>
              <w:rPr>
                <w:bCs/>
                <w:color w:val="000000"/>
              </w:rPr>
              <w:t>核素名称</w:t>
            </w:r>
          </w:p>
        </w:tc>
        <w:tc>
          <w:tcPr>
            <w:tcW w:w="1318" w:type="dxa"/>
            <w:tcBorders>
              <w:bottom w:val="single" w:color="auto" w:sz="4" w:space="0"/>
            </w:tcBorders>
            <w:vAlign w:val="center"/>
          </w:tcPr>
          <w:p>
            <w:pPr>
              <w:spacing w:line="290" w:lineRule="exact"/>
              <w:jc w:val="center"/>
              <w:rPr>
                <w:bCs/>
                <w:color w:val="000000"/>
                <w:spacing w:val="-20"/>
              </w:rPr>
            </w:pPr>
            <w:r>
              <w:rPr>
                <w:bCs/>
                <w:color w:val="000000"/>
              </w:rPr>
              <w:t>理化性质</w:t>
            </w:r>
          </w:p>
        </w:tc>
        <w:tc>
          <w:tcPr>
            <w:tcW w:w="1097" w:type="dxa"/>
            <w:tcBorders>
              <w:bottom w:val="single" w:color="auto" w:sz="4" w:space="0"/>
            </w:tcBorders>
            <w:vAlign w:val="center"/>
          </w:tcPr>
          <w:p>
            <w:pPr>
              <w:spacing w:line="290" w:lineRule="exact"/>
              <w:jc w:val="center"/>
              <w:rPr>
                <w:bCs/>
                <w:color w:val="000000"/>
                <w:spacing w:val="-20"/>
              </w:rPr>
            </w:pPr>
            <w:r>
              <w:rPr>
                <w:bCs/>
                <w:color w:val="000000"/>
                <w:spacing w:val="-20"/>
              </w:rPr>
              <w:t>活动种类</w:t>
            </w:r>
          </w:p>
        </w:tc>
        <w:tc>
          <w:tcPr>
            <w:tcW w:w="1474" w:type="dxa"/>
            <w:tcBorders>
              <w:bottom w:val="single" w:color="auto" w:sz="4" w:space="0"/>
            </w:tcBorders>
            <w:vAlign w:val="center"/>
          </w:tcPr>
          <w:p>
            <w:pPr>
              <w:spacing w:line="290" w:lineRule="exact"/>
              <w:jc w:val="center"/>
              <w:rPr>
                <w:bCs/>
                <w:color w:val="000000"/>
              </w:rPr>
            </w:pPr>
            <w:r>
              <w:rPr>
                <w:bCs/>
                <w:color w:val="000000"/>
              </w:rPr>
              <w:t>实际日最大操作量（Bq）</w:t>
            </w:r>
          </w:p>
        </w:tc>
        <w:tc>
          <w:tcPr>
            <w:tcW w:w="1474" w:type="dxa"/>
            <w:tcBorders>
              <w:bottom w:val="single" w:color="auto" w:sz="4" w:space="0"/>
            </w:tcBorders>
            <w:vAlign w:val="center"/>
          </w:tcPr>
          <w:p>
            <w:pPr>
              <w:spacing w:line="290" w:lineRule="exact"/>
              <w:jc w:val="center"/>
              <w:rPr>
                <w:bCs/>
                <w:color w:val="000000"/>
              </w:rPr>
            </w:pPr>
            <w:r>
              <w:rPr>
                <w:bCs/>
                <w:color w:val="000000"/>
              </w:rPr>
              <w:t>日等效最大操作量（Bq）</w:t>
            </w:r>
          </w:p>
        </w:tc>
        <w:tc>
          <w:tcPr>
            <w:tcW w:w="1264" w:type="dxa"/>
            <w:tcBorders>
              <w:bottom w:val="single" w:color="auto" w:sz="4" w:space="0"/>
            </w:tcBorders>
            <w:vAlign w:val="center"/>
          </w:tcPr>
          <w:p>
            <w:pPr>
              <w:spacing w:line="290" w:lineRule="exact"/>
              <w:jc w:val="center"/>
              <w:rPr>
                <w:bCs/>
                <w:color w:val="000000"/>
              </w:rPr>
            </w:pPr>
            <w:r>
              <w:rPr>
                <w:bCs/>
                <w:color w:val="000000"/>
              </w:rPr>
              <w:t>年最大用量（Bq）</w:t>
            </w:r>
          </w:p>
        </w:tc>
        <w:tc>
          <w:tcPr>
            <w:tcW w:w="1126" w:type="dxa"/>
            <w:gridSpan w:val="2"/>
            <w:tcBorders>
              <w:bottom w:val="single" w:color="auto" w:sz="4" w:space="0"/>
            </w:tcBorders>
            <w:vAlign w:val="center"/>
          </w:tcPr>
          <w:p>
            <w:pPr>
              <w:spacing w:line="290" w:lineRule="exact"/>
              <w:jc w:val="center"/>
              <w:rPr>
                <w:bCs/>
                <w:color w:val="000000"/>
              </w:rPr>
            </w:pPr>
            <w:r>
              <w:rPr>
                <w:bCs/>
                <w:color w:val="000000"/>
              </w:rPr>
              <w:t>用途</w:t>
            </w:r>
          </w:p>
        </w:tc>
        <w:tc>
          <w:tcPr>
            <w:tcW w:w="1208" w:type="dxa"/>
            <w:tcBorders>
              <w:bottom w:val="single" w:color="auto" w:sz="4" w:space="0"/>
            </w:tcBorders>
            <w:vAlign w:val="center"/>
          </w:tcPr>
          <w:p>
            <w:pPr>
              <w:spacing w:line="290" w:lineRule="exact"/>
              <w:jc w:val="center"/>
              <w:rPr>
                <w:bCs/>
                <w:color w:val="000000"/>
              </w:rPr>
            </w:pPr>
            <w:r>
              <w:rPr>
                <w:bCs/>
                <w:color w:val="000000"/>
              </w:rPr>
              <w:t>操作方式</w:t>
            </w:r>
          </w:p>
        </w:tc>
        <w:tc>
          <w:tcPr>
            <w:tcW w:w="1239" w:type="dxa"/>
            <w:tcBorders>
              <w:bottom w:val="single" w:color="auto" w:sz="4" w:space="0"/>
            </w:tcBorders>
            <w:vAlign w:val="center"/>
          </w:tcPr>
          <w:p>
            <w:pPr>
              <w:spacing w:line="290" w:lineRule="exact"/>
              <w:jc w:val="center"/>
              <w:rPr>
                <w:bCs/>
                <w:color w:val="000000"/>
              </w:rPr>
            </w:pPr>
            <w:r>
              <w:rPr>
                <w:bCs/>
                <w:color w:val="000000"/>
              </w:rPr>
              <w:t>使用场所</w:t>
            </w:r>
          </w:p>
        </w:tc>
        <w:tc>
          <w:tcPr>
            <w:tcW w:w="1930" w:type="dxa"/>
            <w:tcBorders>
              <w:bottom w:val="single" w:color="auto" w:sz="4" w:space="0"/>
            </w:tcBorders>
            <w:vAlign w:val="center"/>
          </w:tcPr>
          <w:p>
            <w:pPr>
              <w:spacing w:line="290" w:lineRule="exact"/>
              <w:jc w:val="center"/>
              <w:rPr>
                <w:bCs/>
                <w:color w:val="000000"/>
              </w:rPr>
            </w:pPr>
            <w:r>
              <w:rPr>
                <w:bCs/>
                <w:color w:val="000000"/>
              </w:rPr>
              <w:t>贮存方式与地点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94" w:type="dxa"/>
            <w:vAlign w:val="center"/>
          </w:tcPr>
          <w:p>
            <w:pPr>
              <w:spacing w:line="290" w:lineRule="exact"/>
              <w:jc w:val="center"/>
              <w:rPr>
                <w:color w:val="000000"/>
              </w:rPr>
            </w:pPr>
            <w:r>
              <w:rPr>
                <w:color w:val="000000"/>
              </w:rPr>
              <w:t>/</w:t>
            </w:r>
          </w:p>
        </w:tc>
        <w:tc>
          <w:tcPr>
            <w:tcW w:w="1250" w:type="dxa"/>
            <w:vAlign w:val="center"/>
          </w:tcPr>
          <w:p>
            <w:pPr>
              <w:spacing w:line="290" w:lineRule="exact"/>
              <w:jc w:val="center"/>
              <w:rPr>
                <w:color w:val="000000"/>
              </w:rPr>
            </w:pPr>
            <w:r>
              <w:rPr>
                <w:color w:val="000000"/>
              </w:rPr>
              <w:t>/</w:t>
            </w:r>
          </w:p>
        </w:tc>
        <w:tc>
          <w:tcPr>
            <w:tcW w:w="1318" w:type="dxa"/>
            <w:vAlign w:val="center"/>
          </w:tcPr>
          <w:p>
            <w:pPr>
              <w:spacing w:line="290" w:lineRule="exact"/>
              <w:jc w:val="center"/>
              <w:rPr>
                <w:color w:val="000000"/>
              </w:rPr>
            </w:pPr>
            <w:r>
              <w:rPr>
                <w:color w:val="000000"/>
              </w:rPr>
              <w:t>/</w:t>
            </w:r>
          </w:p>
        </w:tc>
        <w:tc>
          <w:tcPr>
            <w:tcW w:w="1097" w:type="dxa"/>
            <w:vAlign w:val="center"/>
          </w:tcPr>
          <w:p>
            <w:pPr>
              <w:spacing w:line="290" w:lineRule="exact"/>
              <w:jc w:val="center"/>
              <w:rPr>
                <w:color w:val="000000"/>
              </w:rPr>
            </w:pPr>
            <w:r>
              <w:rPr>
                <w:color w:val="000000"/>
              </w:rPr>
              <w:t>/</w:t>
            </w:r>
          </w:p>
        </w:tc>
        <w:tc>
          <w:tcPr>
            <w:tcW w:w="1474" w:type="dxa"/>
            <w:vAlign w:val="center"/>
          </w:tcPr>
          <w:p>
            <w:pPr>
              <w:spacing w:line="290" w:lineRule="exact"/>
              <w:jc w:val="center"/>
              <w:rPr>
                <w:color w:val="000000"/>
              </w:rPr>
            </w:pPr>
            <w:r>
              <w:rPr>
                <w:color w:val="000000"/>
              </w:rPr>
              <w:t>/</w:t>
            </w:r>
          </w:p>
        </w:tc>
        <w:tc>
          <w:tcPr>
            <w:tcW w:w="1474" w:type="dxa"/>
            <w:vAlign w:val="center"/>
          </w:tcPr>
          <w:p>
            <w:pPr>
              <w:spacing w:line="290" w:lineRule="exact"/>
              <w:jc w:val="center"/>
              <w:rPr>
                <w:color w:val="000000"/>
              </w:rPr>
            </w:pPr>
            <w:r>
              <w:rPr>
                <w:color w:val="000000"/>
              </w:rPr>
              <w:t>/</w:t>
            </w:r>
          </w:p>
        </w:tc>
        <w:tc>
          <w:tcPr>
            <w:tcW w:w="1264" w:type="dxa"/>
            <w:vAlign w:val="center"/>
          </w:tcPr>
          <w:p>
            <w:pPr>
              <w:spacing w:line="290" w:lineRule="exact"/>
              <w:jc w:val="center"/>
              <w:rPr>
                <w:color w:val="000000"/>
              </w:rPr>
            </w:pPr>
            <w:r>
              <w:rPr>
                <w:color w:val="000000"/>
              </w:rPr>
              <w:t>/</w:t>
            </w:r>
          </w:p>
        </w:tc>
        <w:tc>
          <w:tcPr>
            <w:tcW w:w="1126" w:type="dxa"/>
            <w:gridSpan w:val="2"/>
            <w:vAlign w:val="center"/>
          </w:tcPr>
          <w:p>
            <w:pPr>
              <w:spacing w:line="290" w:lineRule="exact"/>
              <w:jc w:val="center"/>
              <w:rPr>
                <w:color w:val="000000"/>
              </w:rPr>
            </w:pPr>
            <w:r>
              <w:rPr>
                <w:color w:val="000000"/>
              </w:rPr>
              <w:t>/</w:t>
            </w:r>
          </w:p>
        </w:tc>
        <w:tc>
          <w:tcPr>
            <w:tcW w:w="1208" w:type="dxa"/>
            <w:vAlign w:val="center"/>
          </w:tcPr>
          <w:p>
            <w:pPr>
              <w:spacing w:line="290" w:lineRule="exact"/>
              <w:jc w:val="center"/>
              <w:rPr>
                <w:color w:val="000000"/>
              </w:rPr>
            </w:pPr>
            <w:r>
              <w:rPr>
                <w:color w:val="000000"/>
              </w:rPr>
              <w:t>/</w:t>
            </w:r>
          </w:p>
        </w:tc>
        <w:tc>
          <w:tcPr>
            <w:tcW w:w="1239" w:type="dxa"/>
            <w:vAlign w:val="center"/>
          </w:tcPr>
          <w:p>
            <w:pPr>
              <w:spacing w:line="290" w:lineRule="exact"/>
              <w:jc w:val="center"/>
              <w:rPr>
                <w:color w:val="000000"/>
              </w:rPr>
            </w:pPr>
            <w:r>
              <w:rPr>
                <w:color w:val="000000"/>
              </w:rPr>
              <w:t>/</w:t>
            </w:r>
          </w:p>
        </w:tc>
        <w:tc>
          <w:tcPr>
            <w:tcW w:w="1930" w:type="dxa"/>
            <w:vAlign w:val="center"/>
          </w:tcPr>
          <w:p>
            <w:pPr>
              <w:spacing w:line="290" w:lineRule="exact"/>
              <w:ind w:left="-120" w:leftChars="-50" w:right="-120" w:rightChars="-50"/>
              <w:jc w:val="center"/>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94" w:type="dxa"/>
            <w:vAlign w:val="center"/>
          </w:tcPr>
          <w:p>
            <w:pPr>
              <w:spacing w:line="290" w:lineRule="exact"/>
              <w:jc w:val="center"/>
              <w:rPr>
                <w:b/>
                <w:bCs/>
                <w:color w:val="000000"/>
              </w:rPr>
            </w:pPr>
          </w:p>
        </w:tc>
        <w:tc>
          <w:tcPr>
            <w:tcW w:w="1250" w:type="dxa"/>
            <w:vAlign w:val="center"/>
          </w:tcPr>
          <w:p>
            <w:pPr>
              <w:spacing w:line="290" w:lineRule="exact"/>
              <w:jc w:val="center"/>
              <w:rPr>
                <w:b/>
                <w:bCs/>
                <w:color w:val="000000"/>
              </w:rPr>
            </w:pPr>
          </w:p>
        </w:tc>
        <w:tc>
          <w:tcPr>
            <w:tcW w:w="1318" w:type="dxa"/>
            <w:vAlign w:val="center"/>
          </w:tcPr>
          <w:p>
            <w:pPr>
              <w:spacing w:line="290" w:lineRule="exact"/>
              <w:jc w:val="center"/>
              <w:rPr>
                <w:b/>
                <w:bCs/>
                <w:color w:val="000000"/>
              </w:rPr>
            </w:pPr>
          </w:p>
        </w:tc>
        <w:tc>
          <w:tcPr>
            <w:tcW w:w="1097" w:type="dxa"/>
            <w:vAlign w:val="center"/>
          </w:tcPr>
          <w:p>
            <w:pPr>
              <w:spacing w:line="290" w:lineRule="exact"/>
              <w:jc w:val="center"/>
              <w:rPr>
                <w:b/>
                <w:bCs/>
                <w:color w:val="000000"/>
              </w:rPr>
            </w:pPr>
          </w:p>
        </w:tc>
        <w:tc>
          <w:tcPr>
            <w:tcW w:w="1474" w:type="dxa"/>
            <w:vAlign w:val="center"/>
          </w:tcPr>
          <w:p>
            <w:pPr>
              <w:spacing w:line="290" w:lineRule="exact"/>
              <w:jc w:val="center"/>
              <w:rPr>
                <w:b/>
                <w:bCs/>
                <w:color w:val="000000"/>
              </w:rPr>
            </w:pPr>
          </w:p>
        </w:tc>
        <w:tc>
          <w:tcPr>
            <w:tcW w:w="1474" w:type="dxa"/>
            <w:vAlign w:val="center"/>
          </w:tcPr>
          <w:p>
            <w:pPr>
              <w:spacing w:line="290" w:lineRule="exact"/>
              <w:jc w:val="center"/>
              <w:rPr>
                <w:b/>
                <w:bCs/>
                <w:color w:val="000000"/>
              </w:rPr>
            </w:pPr>
          </w:p>
        </w:tc>
        <w:tc>
          <w:tcPr>
            <w:tcW w:w="1270" w:type="dxa"/>
            <w:gridSpan w:val="2"/>
            <w:vAlign w:val="center"/>
          </w:tcPr>
          <w:p>
            <w:pPr>
              <w:spacing w:line="290" w:lineRule="exact"/>
              <w:jc w:val="center"/>
              <w:rPr>
                <w:b/>
                <w:bCs/>
                <w:color w:val="000000"/>
              </w:rPr>
            </w:pPr>
          </w:p>
        </w:tc>
        <w:tc>
          <w:tcPr>
            <w:tcW w:w="1120" w:type="dxa"/>
            <w:vAlign w:val="center"/>
          </w:tcPr>
          <w:p>
            <w:pPr>
              <w:spacing w:line="290" w:lineRule="exact"/>
              <w:jc w:val="center"/>
              <w:rPr>
                <w:b/>
                <w:bCs/>
                <w:color w:val="000000"/>
              </w:rPr>
            </w:pPr>
          </w:p>
        </w:tc>
        <w:tc>
          <w:tcPr>
            <w:tcW w:w="1208" w:type="dxa"/>
            <w:vAlign w:val="center"/>
          </w:tcPr>
          <w:p>
            <w:pPr>
              <w:spacing w:line="290" w:lineRule="exact"/>
              <w:jc w:val="center"/>
              <w:rPr>
                <w:b/>
                <w:bCs/>
                <w:color w:val="000000"/>
              </w:rPr>
            </w:pPr>
          </w:p>
        </w:tc>
        <w:tc>
          <w:tcPr>
            <w:tcW w:w="1239" w:type="dxa"/>
            <w:vAlign w:val="center"/>
          </w:tcPr>
          <w:p>
            <w:pPr>
              <w:spacing w:line="290" w:lineRule="exact"/>
              <w:jc w:val="center"/>
              <w:rPr>
                <w:b/>
                <w:bCs/>
                <w:color w:val="000000"/>
              </w:rPr>
            </w:pPr>
          </w:p>
        </w:tc>
        <w:tc>
          <w:tcPr>
            <w:tcW w:w="1930" w:type="dxa"/>
            <w:vAlign w:val="center"/>
          </w:tcPr>
          <w:p>
            <w:pPr>
              <w:spacing w:line="290" w:lineRule="exact"/>
              <w:ind w:left="-120" w:leftChars="-50" w:right="-120" w:rightChars="-50"/>
              <w:jc w:val="center"/>
              <w:rPr>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94" w:type="dxa"/>
            <w:vAlign w:val="center"/>
          </w:tcPr>
          <w:p>
            <w:pPr>
              <w:spacing w:line="290" w:lineRule="exact"/>
              <w:jc w:val="center"/>
              <w:rPr>
                <w:b/>
                <w:bCs/>
                <w:color w:val="000000"/>
              </w:rPr>
            </w:pPr>
          </w:p>
        </w:tc>
        <w:tc>
          <w:tcPr>
            <w:tcW w:w="1250" w:type="dxa"/>
            <w:vAlign w:val="center"/>
          </w:tcPr>
          <w:p>
            <w:pPr>
              <w:spacing w:line="290" w:lineRule="exact"/>
              <w:jc w:val="center"/>
              <w:rPr>
                <w:b/>
                <w:bCs/>
                <w:color w:val="000000"/>
              </w:rPr>
            </w:pPr>
          </w:p>
        </w:tc>
        <w:tc>
          <w:tcPr>
            <w:tcW w:w="1318" w:type="dxa"/>
            <w:vAlign w:val="center"/>
          </w:tcPr>
          <w:p>
            <w:pPr>
              <w:spacing w:line="290" w:lineRule="exact"/>
              <w:jc w:val="center"/>
              <w:rPr>
                <w:b/>
                <w:bCs/>
                <w:color w:val="000000"/>
              </w:rPr>
            </w:pPr>
          </w:p>
        </w:tc>
        <w:tc>
          <w:tcPr>
            <w:tcW w:w="1097" w:type="dxa"/>
            <w:vAlign w:val="center"/>
          </w:tcPr>
          <w:p>
            <w:pPr>
              <w:spacing w:line="290" w:lineRule="exact"/>
              <w:jc w:val="center"/>
              <w:rPr>
                <w:b/>
                <w:bCs/>
                <w:color w:val="000000"/>
              </w:rPr>
            </w:pPr>
          </w:p>
        </w:tc>
        <w:tc>
          <w:tcPr>
            <w:tcW w:w="1474" w:type="dxa"/>
            <w:vAlign w:val="center"/>
          </w:tcPr>
          <w:p>
            <w:pPr>
              <w:spacing w:line="290" w:lineRule="exact"/>
              <w:jc w:val="center"/>
              <w:rPr>
                <w:b/>
                <w:bCs/>
                <w:color w:val="000000"/>
              </w:rPr>
            </w:pPr>
          </w:p>
        </w:tc>
        <w:tc>
          <w:tcPr>
            <w:tcW w:w="1474" w:type="dxa"/>
            <w:vAlign w:val="center"/>
          </w:tcPr>
          <w:p>
            <w:pPr>
              <w:spacing w:line="290" w:lineRule="exact"/>
              <w:jc w:val="center"/>
              <w:rPr>
                <w:b/>
                <w:bCs/>
                <w:color w:val="000000"/>
              </w:rPr>
            </w:pPr>
          </w:p>
        </w:tc>
        <w:tc>
          <w:tcPr>
            <w:tcW w:w="1270" w:type="dxa"/>
            <w:gridSpan w:val="2"/>
            <w:vAlign w:val="center"/>
          </w:tcPr>
          <w:p>
            <w:pPr>
              <w:spacing w:line="290" w:lineRule="exact"/>
              <w:jc w:val="center"/>
              <w:rPr>
                <w:b/>
                <w:bCs/>
                <w:color w:val="000000"/>
              </w:rPr>
            </w:pPr>
          </w:p>
        </w:tc>
        <w:tc>
          <w:tcPr>
            <w:tcW w:w="1120" w:type="dxa"/>
            <w:vAlign w:val="center"/>
          </w:tcPr>
          <w:p>
            <w:pPr>
              <w:spacing w:line="290" w:lineRule="exact"/>
              <w:jc w:val="center"/>
              <w:rPr>
                <w:b/>
                <w:bCs/>
                <w:color w:val="000000"/>
              </w:rPr>
            </w:pPr>
          </w:p>
        </w:tc>
        <w:tc>
          <w:tcPr>
            <w:tcW w:w="1208" w:type="dxa"/>
            <w:vAlign w:val="center"/>
          </w:tcPr>
          <w:p>
            <w:pPr>
              <w:spacing w:line="290" w:lineRule="exact"/>
              <w:jc w:val="center"/>
              <w:rPr>
                <w:b/>
                <w:bCs/>
                <w:color w:val="000000"/>
              </w:rPr>
            </w:pPr>
          </w:p>
        </w:tc>
        <w:tc>
          <w:tcPr>
            <w:tcW w:w="1239" w:type="dxa"/>
            <w:vAlign w:val="center"/>
          </w:tcPr>
          <w:p>
            <w:pPr>
              <w:spacing w:line="290" w:lineRule="exact"/>
              <w:jc w:val="center"/>
              <w:rPr>
                <w:b/>
                <w:bCs/>
                <w:color w:val="000000"/>
              </w:rPr>
            </w:pPr>
          </w:p>
        </w:tc>
        <w:tc>
          <w:tcPr>
            <w:tcW w:w="1930" w:type="dxa"/>
            <w:vAlign w:val="center"/>
          </w:tcPr>
          <w:p>
            <w:pPr>
              <w:spacing w:line="290" w:lineRule="exact"/>
              <w:ind w:left="-120" w:leftChars="-50" w:right="-120" w:rightChars="-50"/>
              <w:jc w:val="center"/>
              <w:rPr>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94" w:type="dxa"/>
            <w:vAlign w:val="center"/>
          </w:tcPr>
          <w:p>
            <w:pPr>
              <w:spacing w:line="290" w:lineRule="exact"/>
              <w:jc w:val="center"/>
              <w:rPr>
                <w:b/>
                <w:bCs/>
                <w:color w:val="000000"/>
              </w:rPr>
            </w:pPr>
          </w:p>
        </w:tc>
        <w:tc>
          <w:tcPr>
            <w:tcW w:w="1250" w:type="dxa"/>
            <w:vAlign w:val="center"/>
          </w:tcPr>
          <w:p>
            <w:pPr>
              <w:spacing w:line="290" w:lineRule="exact"/>
              <w:jc w:val="center"/>
              <w:rPr>
                <w:b/>
                <w:bCs/>
                <w:color w:val="000000"/>
              </w:rPr>
            </w:pPr>
          </w:p>
        </w:tc>
        <w:tc>
          <w:tcPr>
            <w:tcW w:w="1318" w:type="dxa"/>
            <w:vAlign w:val="center"/>
          </w:tcPr>
          <w:p>
            <w:pPr>
              <w:spacing w:line="290" w:lineRule="exact"/>
              <w:jc w:val="center"/>
              <w:rPr>
                <w:b/>
                <w:bCs/>
                <w:color w:val="000000"/>
              </w:rPr>
            </w:pPr>
          </w:p>
        </w:tc>
        <w:tc>
          <w:tcPr>
            <w:tcW w:w="1097" w:type="dxa"/>
            <w:vAlign w:val="center"/>
          </w:tcPr>
          <w:p>
            <w:pPr>
              <w:spacing w:line="290" w:lineRule="exact"/>
              <w:jc w:val="center"/>
              <w:rPr>
                <w:b/>
                <w:bCs/>
                <w:color w:val="000000"/>
              </w:rPr>
            </w:pPr>
          </w:p>
        </w:tc>
        <w:tc>
          <w:tcPr>
            <w:tcW w:w="1474" w:type="dxa"/>
            <w:vAlign w:val="center"/>
          </w:tcPr>
          <w:p>
            <w:pPr>
              <w:spacing w:line="290" w:lineRule="exact"/>
              <w:jc w:val="center"/>
              <w:rPr>
                <w:b/>
                <w:bCs/>
                <w:color w:val="000000"/>
              </w:rPr>
            </w:pPr>
          </w:p>
        </w:tc>
        <w:tc>
          <w:tcPr>
            <w:tcW w:w="1474" w:type="dxa"/>
            <w:vAlign w:val="center"/>
          </w:tcPr>
          <w:p>
            <w:pPr>
              <w:spacing w:line="290" w:lineRule="exact"/>
              <w:jc w:val="center"/>
              <w:rPr>
                <w:b/>
                <w:bCs/>
                <w:color w:val="000000"/>
              </w:rPr>
            </w:pPr>
          </w:p>
        </w:tc>
        <w:tc>
          <w:tcPr>
            <w:tcW w:w="1270" w:type="dxa"/>
            <w:gridSpan w:val="2"/>
            <w:vAlign w:val="center"/>
          </w:tcPr>
          <w:p>
            <w:pPr>
              <w:spacing w:line="290" w:lineRule="exact"/>
              <w:jc w:val="center"/>
              <w:rPr>
                <w:b/>
                <w:bCs/>
                <w:color w:val="000000"/>
              </w:rPr>
            </w:pPr>
          </w:p>
        </w:tc>
        <w:tc>
          <w:tcPr>
            <w:tcW w:w="1120" w:type="dxa"/>
            <w:vAlign w:val="center"/>
          </w:tcPr>
          <w:p>
            <w:pPr>
              <w:spacing w:line="290" w:lineRule="exact"/>
              <w:jc w:val="center"/>
              <w:rPr>
                <w:b/>
                <w:bCs/>
                <w:color w:val="000000"/>
              </w:rPr>
            </w:pPr>
          </w:p>
        </w:tc>
        <w:tc>
          <w:tcPr>
            <w:tcW w:w="1208" w:type="dxa"/>
            <w:vAlign w:val="center"/>
          </w:tcPr>
          <w:p>
            <w:pPr>
              <w:spacing w:line="290" w:lineRule="exact"/>
              <w:jc w:val="center"/>
              <w:rPr>
                <w:b/>
                <w:bCs/>
                <w:color w:val="000000"/>
              </w:rPr>
            </w:pPr>
          </w:p>
        </w:tc>
        <w:tc>
          <w:tcPr>
            <w:tcW w:w="1239" w:type="dxa"/>
            <w:vAlign w:val="center"/>
          </w:tcPr>
          <w:p>
            <w:pPr>
              <w:spacing w:line="290" w:lineRule="exact"/>
              <w:jc w:val="center"/>
              <w:rPr>
                <w:b/>
                <w:bCs/>
                <w:color w:val="000000"/>
              </w:rPr>
            </w:pPr>
          </w:p>
        </w:tc>
        <w:tc>
          <w:tcPr>
            <w:tcW w:w="1930" w:type="dxa"/>
            <w:vAlign w:val="center"/>
          </w:tcPr>
          <w:p>
            <w:pPr>
              <w:spacing w:line="290" w:lineRule="exact"/>
              <w:ind w:left="-120" w:leftChars="-50" w:right="-120" w:rightChars="-50"/>
              <w:jc w:val="center"/>
              <w:rPr>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94" w:type="dxa"/>
            <w:vAlign w:val="center"/>
          </w:tcPr>
          <w:p>
            <w:pPr>
              <w:spacing w:line="290" w:lineRule="exact"/>
              <w:jc w:val="center"/>
              <w:rPr>
                <w:b/>
                <w:bCs/>
                <w:color w:val="000000"/>
              </w:rPr>
            </w:pPr>
          </w:p>
        </w:tc>
        <w:tc>
          <w:tcPr>
            <w:tcW w:w="1250" w:type="dxa"/>
            <w:vAlign w:val="center"/>
          </w:tcPr>
          <w:p>
            <w:pPr>
              <w:spacing w:line="290" w:lineRule="exact"/>
              <w:jc w:val="center"/>
              <w:rPr>
                <w:b/>
                <w:bCs/>
                <w:color w:val="000000"/>
              </w:rPr>
            </w:pPr>
          </w:p>
        </w:tc>
        <w:tc>
          <w:tcPr>
            <w:tcW w:w="1318" w:type="dxa"/>
            <w:vAlign w:val="center"/>
          </w:tcPr>
          <w:p>
            <w:pPr>
              <w:spacing w:line="290" w:lineRule="exact"/>
              <w:jc w:val="center"/>
              <w:rPr>
                <w:b/>
                <w:bCs/>
                <w:color w:val="000000"/>
              </w:rPr>
            </w:pPr>
          </w:p>
        </w:tc>
        <w:tc>
          <w:tcPr>
            <w:tcW w:w="1097" w:type="dxa"/>
            <w:vAlign w:val="center"/>
          </w:tcPr>
          <w:p>
            <w:pPr>
              <w:spacing w:line="290" w:lineRule="exact"/>
              <w:jc w:val="center"/>
              <w:rPr>
                <w:b/>
                <w:bCs/>
                <w:color w:val="000000"/>
              </w:rPr>
            </w:pPr>
          </w:p>
        </w:tc>
        <w:tc>
          <w:tcPr>
            <w:tcW w:w="1474" w:type="dxa"/>
            <w:vAlign w:val="center"/>
          </w:tcPr>
          <w:p>
            <w:pPr>
              <w:spacing w:line="290" w:lineRule="exact"/>
              <w:jc w:val="center"/>
              <w:rPr>
                <w:b/>
                <w:bCs/>
                <w:color w:val="000000"/>
              </w:rPr>
            </w:pPr>
          </w:p>
        </w:tc>
        <w:tc>
          <w:tcPr>
            <w:tcW w:w="1474" w:type="dxa"/>
            <w:vAlign w:val="center"/>
          </w:tcPr>
          <w:p>
            <w:pPr>
              <w:spacing w:line="290" w:lineRule="exact"/>
              <w:jc w:val="center"/>
              <w:rPr>
                <w:b/>
                <w:bCs/>
                <w:color w:val="000000"/>
              </w:rPr>
            </w:pPr>
          </w:p>
        </w:tc>
        <w:tc>
          <w:tcPr>
            <w:tcW w:w="1270" w:type="dxa"/>
            <w:gridSpan w:val="2"/>
            <w:vAlign w:val="center"/>
          </w:tcPr>
          <w:p>
            <w:pPr>
              <w:spacing w:line="290" w:lineRule="exact"/>
              <w:jc w:val="center"/>
              <w:rPr>
                <w:b/>
                <w:bCs/>
                <w:color w:val="000000"/>
              </w:rPr>
            </w:pPr>
          </w:p>
        </w:tc>
        <w:tc>
          <w:tcPr>
            <w:tcW w:w="1120" w:type="dxa"/>
            <w:vAlign w:val="center"/>
          </w:tcPr>
          <w:p>
            <w:pPr>
              <w:spacing w:line="290" w:lineRule="exact"/>
              <w:jc w:val="center"/>
              <w:rPr>
                <w:b/>
                <w:bCs/>
                <w:color w:val="000000"/>
              </w:rPr>
            </w:pPr>
          </w:p>
        </w:tc>
        <w:tc>
          <w:tcPr>
            <w:tcW w:w="1208" w:type="dxa"/>
            <w:vAlign w:val="center"/>
          </w:tcPr>
          <w:p>
            <w:pPr>
              <w:spacing w:line="290" w:lineRule="exact"/>
              <w:jc w:val="center"/>
              <w:rPr>
                <w:b/>
                <w:bCs/>
                <w:color w:val="000000"/>
              </w:rPr>
            </w:pPr>
          </w:p>
        </w:tc>
        <w:tc>
          <w:tcPr>
            <w:tcW w:w="1239" w:type="dxa"/>
            <w:vAlign w:val="center"/>
          </w:tcPr>
          <w:p>
            <w:pPr>
              <w:spacing w:line="290" w:lineRule="exact"/>
              <w:jc w:val="center"/>
              <w:rPr>
                <w:b/>
                <w:bCs/>
                <w:color w:val="000000"/>
              </w:rPr>
            </w:pPr>
          </w:p>
        </w:tc>
        <w:tc>
          <w:tcPr>
            <w:tcW w:w="1930" w:type="dxa"/>
            <w:vAlign w:val="center"/>
          </w:tcPr>
          <w:p>
            <w:pPr>
              <w:spacing w:line="290" w:lineRule="exact"/>
              <w:ind w:left="-120" w:leftChars="-50" w:right="-120" w:rightChars="-50"/>
              <w:jc w:val="center"/>
              <w:rPr>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94" w:type="dxa"/>
            <w:vAlign w:val="center"/>
          </w:tcPr>
          <w:p>
            <w:pPr>
              <w:spacing w:line="290" w:lineRule="exact"/>
              <w:jc w:val="center"/>
              <w:rPr>
                <w:b/>
                <w:bCs/>
                <w:color w:val="000000"/>
              </w:rPr>
            </w:pPr>
          </w:p>
        </w:tc>
        <w:tc>
          <w:tcPr>
            <w:tcW w:w="1250" w:type="dxa"/>
            <w:vAlign w:val="center"/>
          </w:tcPr>
          <w:p>
            <w:pPr>
              <w:spacing w:line="290" w:lineRule="exact"/>
              <w:jc w:val="center"/>
              <w:rPr>
                <w:b/>
                <w:bCs/>
                <w:color w:val="000000"/>
              </w:rPr>
            </w:pPr>
          </w:p>
        </w:tc>
        <w:tc>
          <w:tcPr>
            <w:tcW w:w="1318" w:type="dxa"/>
            <w:vAlign w:val="center"/>
          </w:tcPr>
          <w:p>
            <w:pPr>
              <w:spacing w:line="290" w:lineRule="exact"/>
              <w:jc w:val="center"/>
              <w:rPr>
                <w:b/>
                <w:bCs/>
                <w:color w:val="000000"/>
              </w:rPr>
            </w:pPr>
          </w:p>
        </w:tc>
        <w:tc>
          <w:tcPr>
            <w:tcW w:w="1097" w:type="dxa"/>
            <w:vAlign w:val="center"/>
          </w:tcPr>
          <w:p>
            <w:pPr>
              <w:spacing w:line="290" w:lineRule="exact"/>
              <w:jc w:val="center"/>
              <w:rPr>
                <w:b/>
                <w:bCs/>
                <w:color w:val="000000"/>
              </w:rPr>
            </w:pPr>
          </w:p>
        </w:tc>
        <w:tc>
          <w:tcPr>
            <w:tcW w:w="1474" w:type="dxa"/>
            <w:vAlign w:val="center"/>
          </w:tcPr>
          <w:p>
            <w:pPr>
              <w:spacing w:line="290" w:lineRule="exact"/>
              <w:jc w:val="center"/>
              <w:rPr>
                <w:b/>
                <w:bCs/>
                <w:color w:val="000000"/>
              </w:rPr>
            </w:pPr>
          </w:p>
        </w:tc>
        <w:tc>
          <w:tcPr>
            <w:tcW w:w="1474" w:type="dxa"/>
            <w:vAlign w:val="center"/>
          </w:tcPr>
          <w:p>
            <w:pPr>
              <w:spacing w:line="290" w:lineRule="exact"/>
              <w:jc w:val="center"/>
              <w:rPr>
                <w:b/>
                <w:bCs/>
                <w:color w:val="000000"/>
              </w:rPr>
            </w:pPr>
          </w:p>
        </w:tc>
        <w:tc>
          <w:tcPr>
            <w:tcW w:w="1270" w:type="dxa"/>
            <w:gridSpan w:val="2"/>
            <w:vAlign w:val="center"/>
          </w:tcPr>
          <w:p>
            <w:pPr>
              <w:spacing w:line="290" w:lineRule="exact"/>
              <w:jc w:val="center"/>
              <w:rPr>
                <w:b/>
                <w:bCs/>
                <w:color w:val="000000"/>
              </w:rPr>
            </w:pPr>
          </w:p>
        </w:tc>
        <w:tc>
          <w:tcPr>
            <w:tcW w:w="1120" w:type="dxa"/>
            <w:vAlign w:val="center"/>
          </w:tcPr>
          <w:p>
            <w:pPr>
              <w:spacing w:line="290" w:lineRule="exact"/>
              <w:jc w:val="center"/>
              <w:rPr>
                <w:b/>
                <w:bCs/>
                <w:color w:val="000000"/>
              </w:rPr>
            </w:pPr>
          </w:p>
        </w:tc>
        <w:tc>
          <w:tcPr>
            <w:tcW w:w="1208" w:type="dxa"/>
            <w:vAlign w:val="center"/>
          </w:tcPr>
          <w:p>
            <w:pPr>
              <w:spacing w:line="290" w:lineRule="exact"/>
              <w:jc w:val="center"/>
              <w:rPr>
                <w:b/>
                <w:bCs/>
                <w:color w:val="000000"/>
              </w:rPr>
            </w:pPr>
          </w:p>
        </w:tc>
        <w:tc>
          <w:tcPr>
            <w:tcW w:w="1239" w:type="dxa"/>
            <w:vAlign w:val="center"/>
          </w:tcPr>
          <w:p>
            <w:pPr>
              <w:spacing w:line="290" w:lineRule="exact"/>
              <w:jc w:val="center"/>
              <w:rPr>
                <w:b/>
                <w:bCs/>
                <w:color w:val="000000"/>
              </w:rPr>
            </w:pPr>
          </w:p>
        </w:tc>
        <w:tc>
          <w:tcPr>
            <w:tcW w:w="1930" w:type="dxa"/>
            <w:vAlign w:val="center"/>
          </w:tcPr>
          <w:p>
            <w:pPr>
              <w:spacing w:line="290" w:lineRule="exact"/>
              <w:ind w:left="-120" w:leftChars="-50" w:right="-120" w:rightChars="-50"/>
              <w:jc w:val="center"/>
              <w:rPr>
                <w:b/>
                <w:bCs/>
                <w:color w:val="000000"/>
              </w:rPr>
            </w:pPr>
          </w:p>
        </w:tc>
      </w:tr>
    </w:tbl>
    <w:p>
      <w:pPr>
        <w:rPr>
          <w:color w:val="000000"/>
          <w:kern w:val="0"/>
        </w:rPr>
      </w:pPr>
      <w:r>
        <w:rPr>
          <w:color w:val="000000"/>
        </w:rPr>
        <w:t>注：</w:t>
      </w:r>
      <w:r>
        <w:rPr>
          <w:color w:val="000000"/>
          <w:kern w:val="0"/>
        </w:rPr>
        <w:t>日最大等效操作量和操作方式见《电离辐射防护与辐射源安全基本标准》（GB 18871-2002）。</w:t>
      </w:r>
    </w:p>
    <w:p>
      <w:pPr>
        <w:pStyle w:val="3"/>
        <w:rPr>
          <w:b w:val="0"/>
          <w:bCs w:val="0"/>
          <w:color w:val="000000"/>
          <w:sz w:val="28"/>
          <w:szCs w:val="28"/>
        </w:rPr>
      </w:pPr>
      <w:r>
        <w:rPr>
          <w:color w:val="000000"/>
          <w:kern w:val="0"/>
        </w:rPr>
        <w:br w:type="page"/>
      </w:r>
      <w:bookmarkStart w:id="9" w:name="_Toc26520"/>
      <w:bookmarkStart w:id="10" w:name="_Toc501805936"/>
      <w:r>
        <w:rPr>
          <w:color w:val="000000"/>
          <w:sz w:val="28"/>
          <w:szCs w:val="28"/>
        </w:rPr>
        <w:t>表4 射线装置</w:t>
      </w:r>
      <w:bookmarkEnd w:id="9"/>
      <w:bookmarkEnd w:id="10"/>
    </w:p>
    <w:p>
      <w:pPr>
        <w:spacing w:line="360" w:lineRule="auto"/>
        <w:rPr>
          <w:b/>
          <w:bCs/>
          <w:color w:val="000000"/>
        </w:rPr>
      </w:pPr>
      <w:r>
        <w:rPr>
          <w:b/>
          <w:bCs/>
          <w:color w:val="000000"/>
        </w:rPr>
        <w:t>（一）加速器：包括医用、工农业、科研、教学等用途的各种类型加速器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480"/>
        <w:gridCol w:w="717"/>
        <w:gridCol w:w="862"/>
        <w:gridCol w:w="1223"/>
        <w:gridCol w:w="1227"/>
        <w:gridCol w:w="1350"/>
        <w:gridCol w:w="2550"/>
        <w:gridCol w:w="1296"/>
        <w:gridCol w:w="1773"/>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3" w:type="dxa"/>
            <w:vAlign w:val="center"/>
          </w:tcPr>
          <w:p>
            <w:pPr>
              <w:snapToGrid w:val="0"/>
              <w:jc w:val="center"/>
              <w:rPr>
                <w:bCs/>
                <w:color w:val="000000"/>
              </w:rPr>
            </w:pPr>
            <w:r>
              <w:rPr>
                <w:bCs/>
                <w:color w:val="000000"/>
              </w:rPr>
              <w:t>序号</w:t>
            </w:r>
          </w:p>
        </w:tc>
        <w:tc>
          <w:tcPr>
            <w:tcW w:w="1480" w:type="dxa"/>
            <w:vAlign w:val="center"/>
          </w:tcPr>
          <w:p>
            <w:pPr>
              <w:snapToGrid w:val="0"/>
              <w:jc w:val="center"/>
              <w:rPr>
                <w:bCs/>
                <w:color w:val="000000"/>
              </w:rPr>
            </w:pPr>
            <w:r>
              <w:rPr>
                <w:bCs/>
                <w:color w:val="000000"/>
              </w:rPr>
              <w:t>名称</w:t>
            </w:r>
          </w:p>
        </w:tc>
        <w:tc>
          <w:tcPr>
            <w:tcW w:w="717" w:type="dxa"/>
            <w:vAlign w:val="center"/>
          </w:tcPr>
          <w:p>
            <w:pPr>
              <w:snapToGrid w:val="0"/>
              <w:jc w:val="center"/>
              <w:rPr>
                <w:bCs/>
                <w:color w:val="000000"/>
              </w:rPr>
            </w:pPr>
            <w:r>
              <w:rPr>
                <w:bCs/>
                <w:color w:val="000000"/>
              </w:rPr>
              <w:t>类别</w:t>
            </w:r>
          </w:p>
        </w:tc>
        <w:tc>
          <w:tcPr>
            <w:tcW w:w="862" w:type="dxa"/>
            <w:vAlign w:val="center"/>
          </w:tcPr>
          <w:p>
            <w:pPr>
              <w:snapToGrid w:val="0"/>
              <w:jc w:val="center"/>
              <w:rPr>
                <w:bCs/>
                <w:color w:val="000000"/>
              </w:rPr>
            </w:pPr>
            <w:r>
              <w:rPr>
                <w:bCs/>
                <w:color w:val="000000"/>
              </w:rPr>
              <w:t>数量</w:t>
            </w:r>
          </w:p>
        </w:tc>
        <w:tc>
          <w:tcPr>
            <w:tcW w:w="1223" w:type="dxa"/>
            <w:vAlign w:val="center"/>
          </w:tcPr>
          <w:p>
            <w:pPr>
              <w:snapToGrid w:val="0"/>
              <w:jc w:val="center"/>
              <w:rPr>
                <w:bCs/>
                <w:color w:val="000000"/>
              </w:rPr>
            </w:pPr>
            <w:r>
              <w:rPr>
                <w:bCs/>
                <w:color w:val="000000"/>
              </w:rPr>
              <w:t>型号</w:t>
            </w:r>
          </w:p>
        </w:tc>
        <w:tc>
          <w:tcPr>
            <w:tcW w:w="1227" w:type="dxa"/>
            <w:vAlign w:val="center"/>
          </w:tcPr>
          <w:p>
            <w:pPr>
              <w:snapToGrid w:val="0"/>
              <w:jc w:val="center"/>
              <w:rPr>
                <w:bCs/>
                <w:color w:val="000000"/>
              </w:rPr>
            </w:pPr>
            <w:r>
              <w:rPr>
                <w:bCs/>
                <w:color w:val="000000"/>
              </w:rPr>
              <w:t>加速粒子</w:t>
            </w:r>
          </w:p>
        </w:tc>
        <w:tc>
          <w:tcPr>
            <w:tcW w:w="1350" w:type="dxa"/>
            <w:vAlign w:val="center"/>
          </w:tcPr>
          <w:p>
            <w:pPr>
              <w:snapToGrid w:val="0"/>
              <w:jc w:val="center"/>
              <w:rPr>
                <w:bCs/>
                <w:color w:val="000000"/>
              </w:rPr>
            </w:pPr>
            <w:r>
              <w:rPr>
                <w:bCs/>
                <w:color w:val="000000"/>
              </w:rPr>
              <w:t>最大能量</w:t>
            </w:r>
          </w:p>
        </w:tc>
        <w:tc>
          <w:tcPr>
            <w:tcW w:w="2550" w:type="dxa"/>
            <w:vAlign w:val="center"/>
          </w:tcPr>
          <w:p>
            <w:pPr>
              <w:snapToGrid w:val="0"/>
              <w:jc w:val="center"/>
              <w:rPr>
                <w:bCs/>
                <w:color w:val="000000"/>
              </w:rPr>
            </w:pPr>
            <w:r>
              <w:rPr>
                <w:bCs/>
                <w:color w:val="000000"/>
              </w:rPr>
              <w:t>额定电流（mA）/</w:t>
            </w:r>
          </w:p>
          <w:p>
            <w:pPr>
              <w:snapToGrid w:val="0"/>
              <w:jc w:val="center"/>
              <w:rPr>
                <w:bCs/>
                <w:color w:val="000000"/>
              </w:rPr>
            </w:pPr>
            <w:r>
              <w:rPr>
                <w:bCs/>
                <w:color w:val="000000"/>
              </w:rPr>
              <w:t>剂量率（Gy/h）</w:t>
            </w:r>
          </w:p>
        </w:tc>
        <w:tc>
          <w:tcPr>
            <w:tcW w:w="1296" w:type="dxa"/>
            <w:vAlign w:val="center"/>
          </w:tcPr>
          <w:p>
            <w:pPr>
              <w:snapToGrid w:val="0"/>
              <w:jc w:val="center"/>
              <w:rPr>
                <w:bCs/>
                <w:color w:val="000000"/>
              </w:rPr>
            </w:pPr>
            <w:r>
              <w:rPr>
                <w:bCs/>
                <w:color w:val="000000"/>
              </w:rPr>
              <w:t>用途</w:t>
            </w:r>
          </w:p>
        </w:tc>
        <w:tc>
          <w:tcPr>
            <w:tcW w:w="1773" w:type="dxa"/>
            <w:vAlign w:val="center"/>
          </w:tcPr>
          <w:p>
            <w:pPr>
              <w:snapToGrid w:val="0"/>
              <w:jc w:val="center"/>
              <w:rPr>
                <w:bCs/>
                <w:color w:val="000000"/>
              </w:rPr>
            </w:pPr>
            <w:r>
              <w:rPr>
                <w:bCs/>
                <w:color w:val="000000"/>
              </w:rPr>
              <w:t>工作场所</w:t>
            </w:r>
          </w:p>
        </w:tc>
        <w:tc>
          <w:tcPr>
            <w:tcW w:w="883" w:type="dxa"/>
            <w:vAlign w:val="center"/>
          </w:tcPr>
          <w:p>
            <w:pPr>
              <w:snapToGrid w:val="0"/>
              <w:jc w:val="center"/>
              <w:rPr>
                <w:bCs/>
                <w:color w:val="000000"/>
              </w:rPr>
            </w:pPr>
            <w:r>
              <w:rPr>
                <w:bCs/>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13" w:type="dxa"/>
            <w:vAlign w:val="center"/>
          </w:tcPr>
          <w:p>
            <w:pPr>
              <w:snapToGrid w:val="0"/>
              <w:jc w:val="center"/>
              <w:rPr>
                <w:bCs/>
                <w:color w:val="000000"/>
              </w:rPr>
            </w:pPr>
            <w:r>
              <w:rPr>
                <w:bCs/>
                <w:color w:val="000000"/>
              </w:rPr>
              <w:t>/</w:t>
            </w:r>
          </w:p>
        </w:tc>
        <w:tc>
          <w:tcPr>
            <w:tcW w:w="1480" w:type="dxa"/>
            <w:vAlign w:val="center"/>
          </w:tcPr>
          <w:p>
            <w:pPr>
              <w:adjustRightInd w:val="0"/>
              <w:snapToGrid w:val="0"/>
              <w:jc w:val="center"/>
              <w:rPr>
                <w:bCs/>
                <w:color w:val="000000"/>
                <w:kern w:val="0"/>
              </w:rPr>
            </w:pPr>
            <w:r>
              <w:rPr>
                <w:bCs/>
                <w:color w:val="000000"/>
              </w:rPr>
              <w:t>/</w:t>
            </w:r>
          </w:p>
        </w:tc>
        <w:tc>
          <w:tcPr>
            <w:tcW w:w="717" w:type="dxa"/>
            <w:vAlign w:val="center"/>
          </w:tcPr>
          <w:p>
            <w:pPr>
              <w:snapToGrid w:val="0"/>
              <w:jc w:val="center"/>
              <w:rPr>
                <w:bCs/>
                <w:color w:val="000000"/>
              </w:rPr>
            </w:pPr>
            <w:r>
              <w:rPr>
                <w:bCs/>
                <w:color w:val="000000"/>
              </w:rPr>
              <w:t>/</w:t>
            </w:r>
          </w:p>
        </w:tc>
        <w:tc>
          <w:tcPr>
            <w:tcW w:w="862" w:type="dxa"/>
            <w:vAlign w:val="center"/>
          </w:tcPr>
          <w:p>
            <w:pPr>
              <w:adjustRightInd w:val="0"/>
              <w:snapToGrid w:val="0"/>
              <w:jc w:val="center"/>
              <w:rPr>
                <w:bCs/>
                <w:color w:val="000000"/>
              </w:rPr>
            </w:pPr>
            <w:r>
              <w:rPr>
                <w:bCs/>
                <w:color w:val="000000"/>
              </w:rPr>
              <w:t>/</w:t>
            </w:r>
          </w:p>
        </w:tc>
        <w:tc>
          <w:tcPr>
            <w:tcW w:w="1223" w:type="dxa"/>
            <w:vAlign w:val="center"/>
          </w:tcPr>
          <w:p>
            <w:pPr>
              <w:snapToGrid w:val="0"/>
              <w:jc w:val="center"/>
              <w:rPr>
                <w:bCs/>
                <w:color w:val="000000"/>
              </w:rPr>
            </w:pPr>
            <w:r>
              <w:rPr>
                <w:bCs/>
                <w:color w:val="000000"/>
              </w:rPr>
              <w:t>/</w:t>
            </w:r>
          </w:p>
        </w:tc>
        <w:tc>
          <w:tcPr>
            <w:tcW w:w="1227" w:type="dxa"/>
            <w:vAlign w:val="center"/>
          </w:tcPr>
          <w:p>
            <w:pPr>
              <w:snapToGrid w:val="0"/>
              <w:jc w:val="center"/>
              <w:rPr>
                <w:bCs/>
                <w:color w:val="000000"/>
              </w:rPr>
            </w:pPr>
            <w:r>
              <w:rPr>
                <w:bCs/>
                <w:color w:val="000000"/>
              </w:rPr>
              <w:t>/</w:t>
            </w:r>
          </w:p>
        </w:tc>
        <w:tc>
          <w:tcPr>
            <w:tcW w:w="1350" w:type="dxa"/>
            <w:vAlign w:val="center"/>
          </w:tcPr>
          <w:p>
            <w:pPr>
              <w:snapToGrid w:val="0"/>
              <w:jc w:val="center"/>
              <w:rPr>
                <w:bCs/>
                <w:color w:val="000000"/>
              </w:rPr>
            </w:pPr>
            <w:r>
              <w:rPr>
                <w:bCs/>
                <w:color w:val="000000"/>
              </w:rPr>
              <w:t>/</w:t>
            </w:r>
          </w:p>
        </w:tc>
        <w:tc>
          <w:tcPr>
            <w:tcW w:w="2550" w:type="dxa"/>
            <w:vAlign w:val="center"/>
          </w:tcPr>
          <w:p>
            <w:pPr>
              <w:snapToGrid w:val="0"/>
              <w:jc w:val="center"/>
              <w:rPr>
                <w:bCs/>
                <w:color w:val="000000"/>
              </w:rPr>
            </w:pPr>
            <w:r>
              <w:rPr>
                <w:bCs/>
                <w:color w:val="000000"/>
              </w:rPr>
              <w:t>/</w:t>
            </w:r>
          </w:p>
        </w:tc>
        <w:tc>
          <w:tcPr>
            <w:tcW w:w="1296" w:type="dxa"/>
            <w:vAlign w:val="center"/>
          </w:tcPr>
          <w:p>
            <w:pPr>
              <w:snapToGrid w:val="0"/>
              <w:jc w:val="center"/>
              <w:rPr>
                <w:bCs/>
                <w:color w:val="000000"/>
              </w:rPr>
            </w:pPr>
            <w:r>
              <w:rPr>
                <w:bCs/>
                <w:color w:val="000000"/>
              </w:rPr>
              <w:t>/</w:t>
            </w:r>
          </w:p>
        </w:tc>
        <w:tc>
          <w:tcPr>
            <w:tcW w:w="1773" w:type="dxa"/>
            <w:vAlign w:val="center"/>
          </w:tcPr>
          <w:p>
            <w:pPr>
              <w:snapToGrid w:val="0"/>
              <w:ind w:left="-120" w:leftChars="-50" w:right="-120" w:rightChars="-50"/>
              <w:jc w:val="center"/>
              <w:rPr>
                <w:bCs/>
                <w:color w:val="000000"/>
              </w:rPr>
            </w:pPr>
            <w:r>
              <w:rPr>
                <w:bCs/>
                <w:color w:val="000000"/>
              </w:rPr>
              <w:t>/</w:t>
            </w:r>
          </w:p>
        </w:tc>
        <w:tc>
          <w:tcPr>
            <w:tcW w:w="883" w:type="dxa"/>
            <w:vAlign w:val="center"/>
          </w:tcPr>
          <w:p>
            <w:pPr>
              <w:spacing w:line="292" w:lineRule="exact"/>
              <w:jc w:val="center"/>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13" w:type="dxa"/>
            <w:vAlign w:val="center"/>
          </w:tcPr>
          <w:p>
            <w:pPr>
              <w:snapToGrid w:val="0"/>
              <w:jc w:val="center"/>
              <w:rPr>
                <w:bCs/>
                <w:color w:val="000000"/>
              </w:rPr>
            </w:pPr>
          </w:p>
        </w:tc>
        <w:tc>
          <w:tcPr>
            <w:tcW w:w="1480" w:type="dxa"/>
            <w:vAlign w:val="center"/>
          </w:tcPr>
          <w:p>
            <w:pPr>
              <w:adjustRightInd w:val="0"/>
              <w:snapToGrid w:val="0"/>
              <w:jc w:val="center"/>
              <w:rPr>
                <w:bCs/>
                <w:color w:val="000000"/>
              </w:rPr>
            </w:pPr>
          </w:p>
        </w:tc>
        <w:tc>
          <w:tcPr>
            <w:tcW w:w="717" w:type="dxa"/>
            <w:vAlign w:val="center"/>
          </w:tcPr>
          <w:p>
            <w:pPr>
              <w:snapToGrid w:val="0"/>
              <w:jc w:val="center"/>
              <w:rPr>
                <w:bCs/>
                <w:color w:val="000000"/>
              </w:rPr>
            </w:pPr>
          </w:p>
        </w:tc>
        <w:tc>
          <w:tcPr>
            <w:tcW w:w="862" w:type="dxa"/>
            <w:vAlign w:val="center"/>
          </w:tcPr>
          <w:p>
            <w:pPr>
              <w:adjustRightInd w:val="0"/>
              <w:snapToGrid w:val="0"/>
              <w:jc w:val="center"/>
              <w:rPr>
                <w:bCs/>
                <w:color w:val="000000"/>
              </w:rPr>
            </w:pPr>
          </w:p>
        </w:tc>
        <w:tc>
          <w:tcPr>
            <w:tcW w:w="1223" w:type="dxa"/>
            <w:vAlign w:val="center"/>
          </w:tcPr>
          <w:p>
            <w:pPr>
              <w:snapToGrid w:val="0"/>
              <w:jc w:val="center"/>
              <w:rPr>
                <w:bCs/>
                <w:color w:val="000000"/>
              </w:rPr>
            </w:pPr>
          </w:p>
        </w:tc>
        <w:tc>
          <w:tcPr>
            <w:tcW w:w="1227" w:type="dxa"/>
            <w:vAlign w:val="center"/>
          </w:tcPr>
          <w:p>
            <w:pPr>
              <w:snapToGrid w:val="0"/>
              <w:jc w:val="center"/>
              <w:rPr>
                <w:bCs/>
                <w:color w:val="000000"/>
              </w:rPr>
            </w:pPr>
          </w:p>
        </w:tc>
        <w:tc>
          <w:tcPr>
            <w:tcW w:w="1350" w:type="dxa"/>
            <w:vAlign w:val="center"/>
          </w:tcPr>
          <w:p>
            <w:pPr>
              <w:snapToGrid w:val="0"/>
              <w:jc w:val="center"/>
              <w:rPr>
                <w:bCs/>
                <w:color w:val="000000"/>
              </w:rPr>
            </w:pPr>
          </w:p>
        </w:tc>
        <w:tc>
          <w:tcPr>
            <w:tcW w:w="2550" w:type="dxa"/>
            <w:vAlign w:val="center"/>
          </w:tcPr>
          <w:p>
            <w:pPr>
              <w:snapToGrid w:val="0"/>
              <w:jc w:val="center"/>
              <w:rPr>
                <w:bCs/>
                <w:color w:val="000000"/>
              </w:rPr>
            </w:pPr>
          </w:p>
        </w:tc>
        <w:tc>
          <w:tcPr>
            <w:tcW w:w="1296" w:type="dxa"/>
            <w:vAlign w:val="center"/>
          </w:tcPr>
          <w:p>
            <w:pPr>
              <w:snapToGrid w:val="0"/>
              <w:jc w:val="center"/>
              <w:rPr>
                <w:bCs/>
                <w:color w:val="000000"/>
              </w:rPr>
            </w:pPr>
          </w:p>
        </w:tc>
        <w:tc>
          <w:tcPr>
            <w:tcW w:w="1773" w:type="dxa"/>
            <w:vAlign w:val="center"/>
          </w:tcPr>
          <w:p>
            <w:pPr>
              <w:snapToGrid w:val="0"/>
              <w:ind w:left="-120" w:leftChars="-50" w:right="-120" w:rightChars="-50"/>
              <w:jc w:val="center"/>
              <w:rPr>
                <w:bCs/>
                <w:color w:val="000000"/>
              </w:rPr>
            </w:pPr>
          </w:p>
        </w:tc>
        <w:tc>
          <w:tcPr>
            <w:tcW w:w="883" w:type="dxa"/>
            <w:vAlign w:val="center"/>
          </w:tcPr>
          <w:p>
            <w:pPr>
              <w:spacing w:line="292" w:lineRule="exact"/>
              <w:jc w:val="center"/>
              <w:rPr>
                <w:bCs/>
                <w:color w:val="000000"/>
              </w:rPr>
            </w:pPr>
          </w:p>
        </w:tc>
      </w:tr>
    </w:tbl>
    <w:p>
      <w:pPr>
        <w:spacing w:line="360" w:lineRule="auto"/>
        <w:rPr>
          <w:b/>
          <w:bCs/>
          <w:color w:val="000000"/>
        </w:rPr>
      </w:pPr>
      <w:r>
        <w:rPr>
          <w:b/>
          <w:bCs/>
          <w:color w:val="000000"/>
        </w:rPr>
        <w:t>（二）X射线机：包括工业探伤、医用诊断和治疗、分析等用途</w:t>
      </w:r>
    </w:p>
    <w:tbl>
      <w:tblPr>
        <w:tblStyle w:val="16"/>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657"/>
        <w:gridCol w:w="818"/>
        <w:gridCol w:w="770"/>
        <w:gridCol w:w="1276"/>
        <w:gridCol w:w="1650"/>
        <w:gridCol w:w="1484"/>
        <w:gridCol w:w="1405"/>
        <w:gridCol w:w="3383"/>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61" w:type="dxa"/>
            <w:vAlign w:val="center"/>
          </w:tcPr>
          <w:p>
            <w:pPr>
              <w:snapToGrid w:val="0"/>
              <w:jc w:val="center"/>
              <w:rPr>
                <w:bCs/>
                <w:color w:val="000000"/>
              </w:rPr>
            </w:pPr>
            <w:r>
              <w:rPr>
                <w:bCs/>
                <w:color w:val="000000"/>
              </w:rPr>
              <w:t>序号</w:t>
            </w:r>
          </w:p>
        </w:tc>
        <w:tc>
          <w:tcPr>
            <w:tcW w:w="1657" w:type="dxa"/>
            <w:vAlign w:val="center"/>
          </w:tcPr>
          <w:p>
            <w:pPr>
              <w:snapToGrid w:val="0"/>
              <w:jc w:val="center"/>
              <w:rPr>
                <w:bCs/>
                <w:color w:val="000000"/>
              </w:rPr>
            </w:pPr>
            <w:r>
              <w:rPr>
                <w:bCs/>
                <w:color w:val="000000"/>
              </w:rPr>
              <w:t>名称</w:t>
            </w:r>
          </w:p>
        </w:tc>
        <w:tc>
          <w:tcPr>
            <w:tcW w:w="818" w:type="dxa"/>
            <w:vAlign w:val="center"/>
          </w:tcPr>
          <w:p>
            <w:pPr>
              <w:snapToGrid w:val="0"/>
              <w:jc w:val="center"/>
              <w:rPr>
                <w:bCs/>
                <w:color w:val="000000"/>
              </w:rPr>
            </w:pPr>
            <w:r>
              <w:rPr>
                <w:bCs/>
                <w:color w:val="000000"/>
              </w:rPr>
              <w:t>类别</w:t>
            </w:r>
          </w:p>
        </w:tc>
        <w:tc>
          <w:tcPr>
            <w:tcW w:w="770" w:type="dxa"/>
            <w:vAlign w:val="center"/>
          </w:tcPr>
          <w:p>
            <w:pPr>
              <w:snapToGrid w:val="0"/>
              <w:jc w:val="center"/>
              <w:rPr>
                <w:bCs/>
                <w:color w:val="000000"/>
              </w:rPr>
            </w:pPr>
            <w:r>
              <w:rPr>
                <w:bCs/>
                <w:color w:val="000000"/>
              </w:rPr>
              <w:t>数量</w:t>
            </w:r>
          </w:p>
        </w:tc>
        <w:tc>
          <w:tcPr>
            <w:tcW w:w="1276" w:type="dxa"/>
            <w:vAlign w:val="center"/>
          </w:tcPr>
          <w:p>
            <w:pPr>
              <w:snapToGrid w:val="0"/>
              <w:jc w:val="center"/>
              <w:rPr>
                <w:bCs/>
                <w:color w:val="000000"/>
              </w:rPr>
            </w:pPr>
            <w:r>
              <w:rPr>
                <w:bCs/>
                <w:color w:val="000000"/>
              </w:rPr>
              <w:t>型号</w:t>
            </w:r>
          </w:p>
        </w:tc>
        <w:tc>
          <w:tcPr>
            <w:tcW w:w="1650" w:type="dxa"/>
            <w:vAlign w:val="center"/>
          </w:tcPr>
          <w:p>
            <w:pPr>
              <w:snapToGrid w:val="0"/>
              <w:jc w:val="center"/>
              <w:rPr>
                <w:bCs/>
                <w:color w:val="000000"/>
              </w:rPr>
            </w:pPr>
            <w:r>
              <w:rPr>
                <w:bCs/>
                <w:color w:val="000000"/>
              </w:rPr>
              <w:t>最大管电压</w:t>
            </w:r>
          </w:p>
          <w:p>
            <w:pPr>
              <w:snapToGrid w:val="0"/>
              <w:jc w:val="center"/>
              <w:rPr>
                <w:bCs/>
                <w:color w:val="000000"/>
              </w:rPr>
            </w:pPr>
            <w:r>
              <w:rPr>
                <w:bCs/>
                <w:color w:val="000000"/>
              </w:rPr>
              <w:t>（kV）</w:t>
            </w:r>
          </w:p>
        </w:tc>
        <w:tc>
          <w:tcPr>
            <w:tcW w:w="1484" w:type="dxa"/>
            <w:vAlign w:val="center"/>
          </w:tcPr>
          <w:p>
            <w:pPr>
              <w:snapToGrid w:val="0"/>
              <w:jc w:val="center"/>
              <w:rPr>
                <w:bCs/>
                <w:color w:val="000000"/>
              </w:rPr>
            </w:pPr>
            <w:r>
              <w:rPr>
                <w:bCs/>
                <w:color w:val="000000"/>
              </w:rPr>
              <w:t>最大管电流</w:t>
            </w:r>
          </w:p>
          <w:p>
            <w:pPr>
              <w:snapToGrid w:val="0"/>
              <w:jc w:val="center"/>
              <w:rPr>
                <w:bCs/>
                <w:color w:val="000000"/>
              </w:rPr>
            </w:pPr>
            <w:r>
              <w:rPr>
                <w:bCs/>
                <w:color w:val="000000"/>
              </w:rPr>
              <w:t>（mA）</w:t>
            </w:r>
          </w:p>
        </w:tc>
        <w:tc>
          <w:tcPr>
            <w:tcW w:w="1405" w:type="dxa"/>
            <w:vAlign w:val="center"/>
          </w:tcPr>
          <w:p>
            <w:pPr>
              <w:snapToGrid w:val="0"/>
              <w:jc w:val="center"/>
              <w:rPr>
                <w:bCs/>
                <w:color w:val="000000"/>
              </w:rPr>
            </w:pPr>
            <w:r>
              <w:rPr>
                <w:bCs/>
                <w:color w:val="000000"/>
              </w:rPr>
              <w:t>用途</w:t>
            </w:r>
          </w:p>
        </w:tc>
        <w:tc>
          <w:tcPr>
            <w:tcW w:w="3383" w:type="dxa"/>
            <w:vAlign w:val="center"/>
          </w:tcPr>
          <w:p>
            <w:pPr>
              <w:snapToGrid w:val="0"/>
              <w:jc w:val="center"/>
              <w:rPr>
                <w:bCs/>
                <w:color w:val="000000"/>
              </w:rPr>
            </w:pPr>
            <w:r>
              <w:rPr>
                <w:bCs/>
                <w:color w:val="000000"/>
              </w:rPr>
              <w:t>工作场所</w:t>
            </w:r>
          </w:p>
        </w:tc>
        <w:tc>
          <w:tcPr>
            <w:tcW w:w="870" w:type="dxa"/>
            <w:vAlign w:val="center"/>
          </w:tcPr>
          <w:p>
            <w:pPr>
              <w:snapToGrid w:val="0"/>
              <w:jc w:val="center"/>
              <w:rPr>
                <w:bCs/>
                <w:color w:val="000000"/>
              </w:rPr>
            </w:pPr>
            <w:r>
              <w:rPr>
                <w:bCs/>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61" w:type="dxa"/>
            <w:vAlign w:val="center"/>
          </w:tcPr>
          <w:p>
            <w:pPr>
              <w:snapToGrid w:val="0"/>
              <w:jc w:val="center"/>
              <w:rPr>
                <w:bCs/>
                <w:color w:val="000000"/>
              </w:rPr>
            </w:pPr>
            <w:r>
              <w:rPr>
                <w:bCs/>
                <w:color w:val="000000"/>
              </w:rPr>
              <w:t>1</w:t>
            </w:r>
          </w:p>
        </w:tc>
        <w:tc>
          <w:tcPr>
            <w:tcW w:w="1657" w:type="dxa"/>
            <w:vAlign w:val="center"/>
          </w:tcPr>
          <w:p>
            <w:pPr>
              <w:jc w:val="center"/>
              <w:rPr>
                <w:bCs/>
                <w:color w:val="000000"/>
                <w:kern w:val="0"/>
              </w:rPr>
            </w:pPr>
            <w:r>
              <w:rPr>
                <w:rFonts w:hint="eastAsia"/>
                <w:bCs/>
                <w:color w:val="000000"/>
                <w:kern w:val="0"/>
              </w:rPr>
              <w:t>数字减影血管造影机（DSA）</w:t>
            </w:r>
          </w:p>
        </w:tc>
        <w:tc>
          <w:tcPr>
            <w:tcW w:w="818" w:type="dxa"/>
            <w:vAlign w:val="center"/>
          </w:tcPr>
          <w:p>
            <w:pPr>
              <w:snapToGrid w:val="0"/>
              <w:jc w:val="center"/>
              <w:rPr>
                <w:bCs/>
                <w:color w:val="000000"/>
              </w:rPr>
            </w:pPr>
            <w:r>
              <w:rPr>
                <w:bCs/>
                <w:color w:val="000000"/>
              </w:rPr>
              <w:t>II</w:t>
            </w:r>
          </w:p>
        </w:tc>
        <w:tc>
          <w:tcPr>
            <w:tcW w:w="770" w:type="dxa"/>
            <w:vAlign w:val="center"/>
          </w:tcPr>
          <w:p>
            <w:pPr>
              <w:adjustRightInd w:val="0"/>
              <w:snapToGrid w:val="0"/>
              <w:jc w:val="center"/>
              <w:rPr>
                <w:bCs/>
                <w:color w:val="000000"/>
              </w:rPr>
            </w:pPr>
            <w:r>
              <w:rPr>
                <w:bCs/>
                <w:color w:val="000000"/>
              </w:rPr>
              <w:t>1台</w:t>
            </w:r>
          </w:p>
        </w:tc>
        <w:tc>
          <w:tcPr>
            <w:tcW w:w="1276" w:type="dxa"/>
            <w:vAlign w:val="center"/>
          </w:tcPr>
          <w:p>
            <w:pPr>
              <w:snapToGrid w:val="0"/>
              <w:jc w:val="center"/>
              <w:rPr>
                <w:bCs/>
                <w:color w:val="000000"/>
              </w:rPr>
            </w:pPr>
            <w:r>
              <w:rPr>
                <w:bCs/>
                <w:color w:val="000000"/>
              </w:rPr>
              <w:t>GE Optima IGS Venus</w:t>
            </w:r>
          </w:p>
        </w:tc>
        <w:tc>
          <w:tcPr>
            <w:tcW w:w="1650" w:type="dxa"/>
            <w:vAlign w:val="center"/>
          </w:tcPr>
          <w:p>
            <w:pPr>
              <w:snapToGrid w:val="0"/>
              <w:jc w:val="center"/>
              <w:rPr>
                <w:bCs/>
                <w:color w:val="000000"/>
              </w:rPr>
            </w:pPr>
            <w:r>
              <w:rPr>
                <w:bCs/>
                <w:color w:val="000000"/>
              </w:rPr>
              <w:t>125</w:t>
            </w:r>
          </w:p>
        </w:tc>
        <w:tc>
          <w:tcPr>
            <w:tcW w:w="1484" w:type="dxa"/>
            <w:vAlign w:val="center"/>
          </w:tcPr>
          <w:p>
            <w:pPr>
              <w:snapToGrid w:val="0"/>
              <w:jc w:val="center"/>
              <w:rPr>
                <w:bCs/>
                <w:color w:val="000000"/>
              </w:rPr>
            </w:pPr>
            <w:r>
              <w:rPr>
                <w:bCs/>
                <w:color w:val="000000"/>
              </w:rPr>
              <w:t>1000</w:t>
            </w:r>
          </w:p>
        </w:tc>
        <w:tc>
          <w:tcPr>
            <w:tcW w:w="1405" w:type="dxa"/>
            <w:vAlign w:val="center"/>
          </w:tcPr>
          <w:p>
            <w:pPr>
              <w:snapToGrid w:val="0"/>
              <w:jc w:val="center"/>
              <w:rPr>
                <w:bCs/>
                <w:color w:val="000000"/>
              </w:rPr>
            </w:pPr>
            <w:r>
              <w:rPr>
                <w:bCs/>
                <w:color w:val="000000"/>
              </w:rPr>
              <w:t>介入诊断、辅助治疗</w:t>
            </w:r>
          </w:p>
        </w:tc>
        <w:tc>
          <w:tcPr>
            <w:tcW w:w="3383" w:type="dxa"/>
            <w:vAlign w:val="center"/>
          </w:tcPr>
          <w:p>
            <w:pPr>
              <w:snapToGrid w:val="0"/>
              <w:jc w:val="center"/>
              <w:rPr>
                <w:bCs/>
                <w:color w:val="000000"/>
              </w:rPr>
            </w:pPr>
            <w:r>
              <w:rPr>
                <w:rFonts w:hint="eastAsia"/>
                <w:color w:val="000000"/>
              </w:rPr>
              <w:t>住院部一层DSA</w:t>
            </w:r>
            <w:r>
              <w:rPr>
                <w:color w:val="000000"/>
              </w:rPr>
              <w:t>手术室内</w:t>
            </w:r>
          </w:p>
        </w:tc>
        <w:tc>
          <w:tcPr>
            <w:tcW w:w="870" w:type="dxa"/>
            <w:vAlign w:val="center"/>
          </w:tcPr>
          <w:p>
            <w:pPr>
              <w:snapToGrid w:val="0"/>
              <w:ind w:left="-120" w:leftChars="-50" w:right="-120" w:rightChars="-50"/>
              <w:jc w:val="center"/>
              <w:rPr>
                <w:bCs/>
                <w:color w:val="000000"/>
              </w:rPr>
            </w:pPr>
            <w:r>
              <w:rPr>
                <w:rFonts w:hint="eastAsia"/>
                <w:bCs/>
                <w:color w:val="000000"/>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861" w:type="dxa"/>
            <w:vAlign w:val="center"/>
          </w:tcPr>
          <w:p>
            <w:pPr>
              <w:snapToGrid w:val="0"/>
              <w:jc w:val="center"/>
              <w:rPr>
                <w:bCs/>
                <w:color w:val="000000"/>
              </w:rPr>
            </w:pPr>
          </w:p>
        </w:tc>
        <w:tc>
          <w:tcPr>
            <w:tcW w:w="1657" w:type="dxa"/>
            <w:vAlign w:val="center"/>
          </w:tcPr>
          <w:p>
            <w:pPr>
              <w:adjustRightInd w:val="0"/>
              <w:snapToGrid w:val="0"/>
              <w:jc w:val="center"/>
              <w:rPr>
                <w:bCs/>
                <w:color w:val="000000"/>
                <w:kern w:val="0"/>
              </w:rPr>
            </w:pPr>
          </w:p>
        </w:tc>
        <w:tc>
          <w:tcPr>
            <w:tcW w:w="818" w:type="dxa"/>
            <w:vAlign w:val="center"/>
          </w:tcPr>
          <w:p>
            <w:pPr>
              <w:snapToGrid w:val="0"/>
              <w:jc w:val="center"/>
              <w:rPr>
                <w:bCs/>
                <w:color w:val="000000"/>
              </w:rPr>
            </w:pPr>
          </w:p>
        </w:tc>
        <w:tc>
          <w:tcPr>
            <w:tcW w:w="770" w:type="dxa"/>
            <w:vAlign w:val="center"/>
          </w:tcPr>
          <w:p>
            <w:pPr>
              <w:snapToGrid w:val="0"/>
              <w:jc w:val="center"/>
              <w:rPr>
                <w:bCs/>
                <w:color w:val="000000"/>
              </w:rPr>
            </w:pPr>
          </w:p>
        </w:tc>
        <w:tc>
          <w:tcPr>
            <w:tcW w:w="1276" w:type="dxa"/>
            <w:vAlign w:val="center"/>
          </w:tcPr>
          <w:p>
            <w:pPr>
              <w:snapToGrid w:val="0"/>
              <w:jc w:val="center"/>
              <w:rPr>
                <w:bCs/>
                <w:color w:val="000000"/>
              </w:rPr>
            </w:pPr>
          </w:p>
        </w:tc>
        <w:tc>
          <w:tcPr>
            <w:tcW w:w="1650" w:type="dxa"/>
            <w:vAlign w:val="center"/>
          </w:tcPr>
          <w:p>
            <w:pPr>
              <w:snapToGrid w:val="0"/>
              <w:jc w:val="center"/>
              <w:rPr>
                <w:bCs/>
                <w:color w:val="000000"/>
              </w:rPr>
            </w:pPr>
          </w:p>
        </w:tc>
        <w:tc>
          <w:tcPr>
            <w:tcW w:w="1484" w:type="dxa"/>
            <w:vAlign w:val="center"/>
          </w:tcPr>
          <w:p>
            <w:pPr>
              <w:snapToGrid w:val="0"/>
              <w:jc w:val="center"/>
              <w:rPr>
                <w:bCs/>
                <w:color w:val="000000"/>
              </w:rPr>
            </w:pPr>
          </w:p>
        </w:tc>
        <w:tc>
          <w:tcPr>
            <w:tcW w:w="1405" w:type="dxa"/>
            <w:vAlign w:val="center"/>
          </w:tcPr>
          <w:p>
            <w:pPr>
              <w:snapToGrid w:val="0"/>
              <w:jc w:val="center"/>
              <w:rPr>
                <w:bCs/>
                <w:color w:val="000000"/>
              </w:rPr>
            </w:pPr>
          </w:p>
        </w:tc>
        <w:tc>
          <w:tcPr>
            <w:tcW w:w="3383" w:type="dxa"/>
            <w:vAlign w:val="center"/>
          </w:tcPr>
          <w:p>
            <w:pPr>
              <w:snapToGrid w:val="0"/>
              <w:jc w:val="center"/>
              <w:rPr>
                <w:bCs/>
                <w:color w:val="000000"/>
              </w:rPr>
            </w:pPr>
          </w:p>
        </w:tc>
        <w:tc>
          <w:tcPr>
            <w:tcW w:w="870" w:type="dxa"/>
            <w:vAlign w:val="center"/>
          </w:tcPr>
          <w:p>
            <w:pPr>
              <w:snapToGrid w:val="0"/>
              <w:ind w:left="-120" w:leftChars="-50" w:right="-120" w:rightChars="-50"/>
              <w:jc w:val="center"/>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2" w:hRule="atLeast"/>
          <w:jc w:val="center"/>
        </w:trPr>
        <w:tc>
          <w:tcPr>
            <w:tcW w:w="861" w:type="dxa"/>
            <w:vAlign w:val="center"/>
          </w:tcPr>
          <w:p>
            <w:pPr>
              <w:snapToGrid w:val="0"/>
              <w:jc w:val="center"/>
              <w:rPr>
                <w:bCs/>
                <w:color w:val="000000"/>
              </w:rPr>
            </w:pPr>
          </w:p>
        </w:tc>
        <w:tc>
          <w:tcPr>
            <w:tcW w:w="1657" w:type="dxa"/>
            <w:vAlign w:val="center"/>
          </w:tcPr>
          <w:p>
            <w:pPr>
              <w:adjustRightInd w:val="0"/>
              <w:snapToGrid w:val="0"/>
              <w:jc w:val="center"/>
              <w:rPr>
                <w:bCs/>
                <w:color w:val="000000"/>
                <w:kern w:val="0"/>
              </w:rPr>
            </w:pPr>
          </w:p>
        </w:tc>
        <w:tc>
          <w:tcPr>
            <w:tcW w:w="818" w:type="dxa"/>
            <w:vAlign w:val="center"/>
          </w:tcPr>
          <w:p>
            <w:pPr>
              <w:snapToGrid w:val="0"/>
              <w:jc w:val="center"/>
              <w:rPr>
                <w:bCs/>
                <w:color w:val="000000"/>
              </w:rPr>
            </w:pPr>
          </w:p>
        </w:tc>
        <w:tc>
          <w:tcPr>
            <w:tcW w:w="770" w:type="dxa"/>
            <w:vAlign w:val="center"/>
          </w:tcPr>
          <w:p>
            <w:pPr>
              <w:snapToGrid w:val="0"/>
              <w:jc w:val="center"/>
              <w:rPr>
                <w:bCs/>
                <w:color w:val="000000"/>
              </w:rPr>
            </w:pPr>
          </w:p>
        </w:tc>
        <w:tc>
          <w:tcPr>
            <w:tcW w:w="1276" w:type="dxa"/>
            <w:vAlign w:val="center"/>
          </w:tcPr>
          <w:p>
            <w:pPr>
              <w:snapToGrid w:val="0"/>
              <w:jc w:val="center"/>
              <w:rPr>
                <w:bCs/>
                <w:color w:val="000000"/>
              </w:rPr>
            </w:pPr>
          </w:p>
        </w:tc>
        <w:tc>
          <w:tcPr>
            <w:tcW w:w="1650" w:type="dxa"/>
            <w:vAlign w:val="center"/>
          </w:tcPr>
          <w:p>
            <w:pPr>
              <w:snapToGrid w:val="0"/>
              <w:jc w:val="center"/>
              <w:rPr>
                <w:bCs/>
                <w:color w:val="000000"/>
              </w:rPr>
            </w:pPr>
          </w:p>
        </w:tc>
        <w:tc>
          <w:tcPr>
            <w:tcW w:w="1484" w:type="dxa"/>
            <w:vAlign w:val="center"/>
          </w:tcPr>
          <w:p>
            <w:pPr>
              <w:snapToGrid w:val="0"/>
              <w:jc w:val="center"/>
              <w:rPr>
                <w:bCs/>
                <w:color w:val="000000"/>
              </w:rPr>
            </w:pPr>
          </w:p>
        </w:tc>
        <w:tc>
          <w:tcPr>
            <w:tcW w:w="1405" w:type="dxa"/>
            <w:vAlign w:val="center"/>
          </w:tcPr>
          <w:p>
            <w:pPr>
              <w:snapToGrid w:val="0"/>
              <w:jc w:val="center"/>
              <w:rPr>
                <w:bCs/>
                <w:color w:val="000000"/>
              </w:rPr>
            </w:pPr>
          </w:p>
        </w:tc>
        <w:tc>
          <w:tcPr>
            <w:tcW w:w="3383" w:type="dxa"/>
            <w:vAlign w:val="center"/>
          </w:tcPr>
          <w:p>
            <w:pPr>
              <w:snapToGrid w:val="0"/>
              <w:jc w:val="center"/>
              <w:rPr>
                <w:color w:val="000000"/>
              </w:rPr>
            </w:pPr>
          </w:p>
        </w:tc>
        <w:tc>
          <w:tcPr>
            <w:tcW w:w="870" w:type="dxa"/>
            <w:vAlign w:val="center"/>
          </w:tcPr>
          <w:p>
            <w:pPr>
              <w:snapToGrid w:val="0"/>
              <w:ind w:left="-120" w:leftChars="-50" w:right="-120" w:rightChars="-50"/>
              <w:jc w:val="center"/>
              <w:rPr>
                <w:bCs/>
                <w:color w:val="000000"/>
              </w:rPr>
            </w:pPr>
          </w:p>
        </w:tc>
      </w:tr>
    </w:tbl>
    <w:p>
      <w:pPr>
        <w:spacing w:line="360" w:lineRule="auto"/>
        <w:rPr>
          <w:b/>
          <w:bCs/>
          <w:color w:val="000000"/>
        </w:rPr>
      </w:pPr>
      <w:r>
        <w:rPr>
          <w:b/>
          <w:bCs/>
          <w:color w:val="000000"/>
        </w:rPr>
        <w:t>（三）中子发生器，包括中子管，但不包括放射性中子源</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907"/>
        <w:gridCol w:w="791"/>
        <w:gridCol w:w="734"/>
        <w:gridCol w:w="964"/>
        <w:gridCol w:w="1477"/>
        <w:gridCol w:w="1477"/>
        <w:gridCol w:w="1364"/>
        <w:gridCol w:w="848"/>
        <w:gridCol w:w="1364"/>
        <w:gridCol w:w="978"/>
        <w:gridCol w:w="884"/>
        <w:gridCol w:w="748"/>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34" w:type="dxa"/>
            <w:vMerge w:val="restart"/>
            <w:vAlign w:val="center"/>
          </w:tcPr>
          <w:p>
            <w:pPr>
              <w:spacing w:line="292" w:lineRule="exact"/>
              <w:jc w:val="center"/>
              <w:rPr>
                <w:bCs/>
                <w:color w:val="000000"/>
              </w:rPr>
            </w:pPr>
            <w:r>
              <w:rPr>
                <w:bCs/>
                <w:color w:val="000000"/>
              </w:rPr>
              <w:t>序号</w:t>
            </w:r>
          </w:p>
        </w:tc>
        <w:tc>
          <w:tcPr>
            <w:tcW w:w="907" w:type="dxa"/>
            <w:vMerge w:val="restart"/>
            <w:vAlign w:val="center"/>
          </w:tcPr>
          <w:p>
            <w:pPr>
              <w:spacing w:line="292" w:lineRule="exact"/>
              <w:jc w:val="center"/>
              <w:rPr>
                <w:bCs/>
                <w:color w:val="000000"/>
              </w:rPr>
            </w:pPr>
            <w:r>
              <w:rPr>
                <w:bCs/>
                <w:color w:val="000000"/>
              </w:rPr>
              <w:t>名称</w:t>
            </w:r>
          </w:p>
        </w:tc>
        <w:tc>
          <w:tcPr>
            <w:tcW w:w="791" w:type="dxa"/>
            <w:vMerge w:val="restart"/>
            <w:vAlign w:val="center"/>
          </w:tcPr>
          <w:p>
            <w:pPr>
              <w:spacing w:line="292" w:lineRule="exact"/>
              <w:jc w:val="center"/>
              <w:rPr>
                <w:bCs/>
                <w:color w:val="000000"/>
              </w:rPr>
            </w:pPr>
            <w:r>
              <w:rPr>
                <w:bCs/>
                <w:color w:val="000000"/>
              </w:rPr>
              <w:t>类别</w:t>
            </w:r>
          </w:p>
        </w:tc>
        <w:tc>
          <w:tcPr>
            <w:tcW w:w="734" w:type="dxa"/>
            <w:vMerge w:val="restart"/>
            <w:vAlign w:val="center"/>
          </w:tcPr>
          <w:p>
            <w:pPr>
              <w:spacing w:line="292" w:lineRule="exact"/>
              <w:jc w:val="center"/>
              <w:rPr>
                <w:bCs/>
                <w:color w:val="000000"/>
              </w:rPr>
            </w:pPr>
            <w:r>
              <w:rPr>
                <w:bCs/>
                <w:color w:val="000000"/>
              </w:rPr>
              <w:t>数量</w:t>
            </w:r>
          </w:p>
        </w:tc>
        <w:tc>
          <w:tcPr>
            <w:tcW w:w="964" w:type="dxa"/>
            <w:vMerge w:val="restart"/>
            <w:vAlign w:val="center"/>
          </w:tcPr>
          <w:p>
            <w:pPr>
              <w:spacing w:line="292" w:lineRule="exact"/>
              <w:ind w:firstLine="117" w:firstLineChars="49"/>
              <w:jc w:val="center"/>
              <w:rPr>
                <w:bCs/>
                <w:color w:val="000000"/>
              </w:rPr>
            </w:pPr>
            <w:r>
              <w:rPr>
                <w:bCs/>
                <w:color w:val="000000"/>
              </w:rPr>
              <w:t>型号</w:t>
            </w:r>
          </w:p>
        </w:tc>
        <w:tc>
          <w:tcPr>
            <w:tcW w:w="1477" w:type="dxa"/>
            <w:vMerge w:val="restart"/>
            <w:vAlign w:val="center"/>
          </w:tcPr>
          <w:p>
            <w:pPr>
              <w:spacing w:line="292" w:lineRule="exact"/>
              <w:jc w:val="center"/>
              <w:rPr>
                <w:bCs/>
                <w:color w:val="000000"/>
              </w:rPr>
            </w:pPr>
            <w:r>
              <w:rPr>
                <w:bCs/>
                <w:color w:val="000000"/>
              </w:rPr>
              <w:t>最大管电压（kV）</w:t>
            </w:r>
          </w:p>
        </w:tc>
        <w:tc>
          <w:tcPr>
            <w:tcW w:w="1477" w:type="dxa"/>
            <w:vMerge w:val="restart"/>
            <w:vAlign w:val="center"/>
          </w:tcPr>
          <w:p>
            <w:pPr>
              <w:spacing w:line="292" w:lineRule="exact"/>
              <w:jc w:val="center"/>
              <w:rPr>
                <w:bCs/>
                <w:color w:val="000000"/>
              </w:rPr>
            </w:pPr>
            <w:r>
              <w:rPr>
                <w:bCs/>
                <w:color w:val="000000"/>
              </w:rPr>
              <w:t>最大靶电流（mA）</w:t>
            </w:r>
          </w:p>
        </w:tc>
        <w:tc>
          <w:tcPr>
            <w:tcW w:w="1364" w:type="dxa"/>
            <w:vMerge w:val="restart"/>
            <w:vAlign w:val="center"/>
          </w:tcPr>
          <w:p>
            <w:pPr>
              <w:spacing w:line="292" w:lineRule="exact"/>
              <w:ind w:firstLine="117" w:firstLineChars="49"/>
              <w:jc w:val="center"/>
              <w:rPr>
                <w:bCs/>
                <w:color w:val="000000"/>
              </w:rPr>
            </w:pPr>
            <w:r>
              <w:rPr>
                <w:bCs/>
                <w:color w:val="000000"/>
              </w:rPr>
              <w:t>中子强度（n/s）</w:t>
            </w:r>
          </w:p>
        </w:tc>
        <w:tc>
          <w:tcPr>
            <w:tcW w:w="848" w:type="dxa"/>
            <w:vMerge w:val="restart"/>
            <w:vAlign w:val="center"/>
          </w:tcPr>
          <w:p>
            <w:pPr>
              <w:spacing w:line="292" w:lineRule="exact"/>
              <w:ind w:firstLine="117" w:firstLineChars="49"/>
              <w:jc w:val="center"/>
              <w:rPr>
                <w:bCs/>
                <w:color w:val="000000"/>
              </w:rPr>
            </w:pPr>
            <w:r>
              <w:rPr>
                <w:bCs/>
                <w:color w:val="000000"/>
              </w:rPr>
              <w:t>用途</w:t>
            </w:r>
          </w:p>
        </w:tc>
        <w:tc>
          <w:tcPr>
            <w:tcW w:w="1364" w:type="dxa"/>
            <w:vMerge w:val="restart"/>
            <w:vAlign w:val="center"/>
          </w:tcPr>
          <w:p>
            <w:pPr>
              <w:spacing w:line="292" w:lineRule="exact"/>
              <w:ind w:firstLine="117" w:firstLineChars="49"/>
              <w:rPr>
                <w:bCs/>
                <w:color w:val="000000"/>
              </w:rPr>
            </w:pPr>
            <w:r>
              <w:rPr>
                <w:bCs/>
                <w:color w:val="000000"/>
              </w:rPr>
              <w:t>工作场所</w:t>
            </w:r>
          </w:p>
        </w:tc>
        <w:tc>
          <w:tcPr>
            <w:tcW w:w="2610" w:type="dxa"/>
            <w:gridSpan w:val="3"/>
            <w:tcBorders>
              <w:bottom w:val="single" w:color="auto" w:sz="4" w:space="0"/>
            </w:tcBorders>
            <w:vAlign w:val="center"/>
          </w:tcPr>
          <w:p>
            <w:pPr>
              <w:spacing w:line="292" w:lineRule="exact"/>
              <w:jc w:val="center"/>
              <w:rPr>
                <w:bCs/>
                <w:color w:val="000000"/>
              </w:rPr>
            </w:pPr>
            <w:r>
              <w:rPr>
                <w:bCs/>
                <w:color w:val="000000"/>
              </w:rPr>
              <w:t>氘靶情况</w:t>
            </w:r>
          </w:p>
        </w:tc>
        <w:tc>
          <w:tcPr>
            <w:tcW w:w="904" w:type="dxa"/>
            <w:vMerge w:val="restart"/>
            <w:vAlign w:val="center"/>
          </w:tcPr>
          <w:p>
            <w:pPr>
              <w:spacing w:line="292" w:lineRule="exact"/>
              <w:jc w:val="center"/>
              <w:rPr>
                <w:bCs/>
                <w:color w:val="000000"/>
              </w:rPr>
            </w:pPr>
            <w:r>
              <w:rPr>
                <w:bCs/>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34" w:type="dxa"/>
            <w:vMerge w:val="continue"/>
            <w:vAlign w:val="center"/>
          </w:tcPr>
          <w:p>
            <w:pPr>
              <w:spacing w:line="292" w:lineRule="exact"/>
              <w:rPr>
                <w:bCs/>
                <w:color w:val="000000"/>
              </w:rPr>
            </w:pPr>
          </w:p>
        </w:tc>
        <w:tc>
          <w:tcPr>
            <w:tcW w:w="907" w:type="dxa"/>
            <w:vMerge w:val="continue"/>
            <w:vAlign w:val="center"/>
          </w:tcPr>
          <w:p>
            <w:pPr>
              <w:spacing w:line="292" w:lineRule="exact"/>
              <w:ind w:firstLine="240" w:firstLineChars="100"/>
              <w:rPr>
                <w:bCs/>
                <w:color w:val="000000"/>
              </w:rPr>
            </w:pPr>
          </w:p>
        </w:tc>
        <w:tc>
          <w:tcPr>
            <w:tcW w:w="791" w:type="dxa"/>
            <w:vMerge w:val="continue"/>
            <w:vAlign w:val="center"/>
          </w:tcPr>
          <w:p>
            <w:pPr>
              <w:spacing w:line="292" w:lineRule="exact"/>
              <w:rPr>
                <w:bCs/>
                <w:color w:val="000000"/>
              </w:rPr>
            </w:pPr>
          </w:p>
        </w:tc>
        <w:tc>
          <w:tcPr>
            <w:tcW w:w="734" w:type="dxa"/>
            <w:vMerge w:val="continue"/>
            <w:vAlign w:val="center"/>
          </w:tcPr>
          <w:p>
            <w:pPr>
              <w:spacing w:line="292" w:lineRule="exact"/>
              <w:rPr>
                <w:bCs/>
                <w:color w:val="000000"/>
              </w:rPr>
            </w:pPr>
          </w:p>
        </w:tc>
        <w:tc>
          <w:tcPr>
            <w:tcW w:w="964" w:type="dxa"/>
            <w:vMerge w:val="continue"/>
            <w:vAlign w:val="center"/>
          </w:tcPr>
          <w:p>
            <w:pPr>
              <w:spacing w:line="292" w:lineRule="exact"/>
              <w:ind w:firstLine="117" w:firstLineChars="49"/>
              <w:rPr>
                <w:bCs/>
                <w:color w:val="000000"/>
              </w:rPr>
            </w:pPr>
          </w:p>
        </w:tc>
        <w:tc>
          <w:tcPr>
            <w:tcW w:w="1477" w:type="dxa"/>
            <w:vMerge w:val="continue"/>
            <w:vAlign w:val="center"/>
          </w:tcPr>
          <w:p>
            <w:pPr>
              <w:spacing w:line="292" w:lineRule="exact"/>
              <w:rPr>
                <w:bCs/>
                <w:color w:val="000000"/>
              </w:rPr>
            </w:pPr>
          </w:p>
        </w:tc>
        <w:tc>
          <w:tcPr>
            <w:tcW w:w="1477" w:type="dxa"/>
            <w:vMerge w:val="continue"/>
            <w:vAlign w:val="center"/>
          </w:tcPr>
          <w:p>
            <w:pPr>
              <w:spacing w:line="292" w:lineRule="exact"/>
              <w:ind w:firstLine="117" w:firstLineChars="49"/>
              <w:rPr>
                <w:bCs/>
                <w:color w:val="000000"/>
              </w:rPr>
            </w:pPr>
          </w:p>
        </w:tc>
        <w:tc>
          <w:tcPr>
            <w:tcW w:w="1364" w:type="dxa"/>
            <w:vMerge w:val="continue"/>
            <w:vAlign w:val="center"/>
          </w:tcPr>
          <w:p>
            <w:pPr>
              <w:spacing w:line="292" w:lineRule="exact"/>
              <w:ind w:firstLine="117" w:firstLineChars="49"/>
              <w:rPr>
                <w:bCs/>
                <w:color w:val="000000"/>
              </w:rPr>
            </w:pPr>
          </w:p>
        </w:tc>
        <w:tc>
          <w:tcPr>
            <w:tcW w:w="848" w:type="dxa"/>
            <w:vMerge w:val="continue"/>
            <w:vAlign w:val="center"/>
          </w:tcPr>
          <w:p>
            <w:pPr>
              <w:spacing w:line="292" w:lineRule="exact"/>
              <w:ind w:firstLine="235" w:firstLineChars="98"/>
              <w:rPr>
                <w:bCs/>
                <w:color w:val="000000"/>
              </w:rPr>
            </w:pPr>
          </w:p>
        </w:tc>
        <w:tc>
          <w:tcPr>
            <w:tcW w:w="1364" w:type="dxa"/>
            <w:vMerge w:val="continue"/>
            <w:vAlign w:val="center"/>
          </w:tcPr>
          <w:p>
            <w:pPr>
              <w:spacing w:line="292" w:lineRule="exact"/>
              <w:rPr>
                <w:bCs/>
                <w:color w:val="000000"/>
              </w:rPr>
            </w:pPr>
          </w:p>
        </w:tc>
        <w:tc>
          <w:tcPr>
            <w:tcW w:w="978" w:type="dxa"/>
            <w:vAlign w:val="center"/>
          </w:tcPr>
          <w:p>
            <w:pPr>
              <w:spacing w:line="292" w:lineRule="exact"/>
              <w:rPr>
                <w:bCs/>
                <w:color w:val="000000"/>
              </w:rPr>
            </w:pPr>
            <w:r>
              <w:rPr>
                <w:bCs/>
                <w:color w:val="000000"/>
              </w:rPr>
              <w:t>活度（Bq）</w:t>
            </w:r>
          </w:p>
        </w:tc>
        <w:tc>
          <w:tcPr>
            <w:tcW w:w="884" w:type="dxa"/>
            <w:vAlign w:val="center"/>
          </w:tcPr>
          <w:p>
            <w:pPr>
              <w:spacing w:line="292" w:lineRule="exact"/>
              <w:jc w:val="center"/>
              <w:rPr>
                <w:bCs/>
                <w:color w:val="000000"/>
              </w:rPr>
            </w:pPr>
            <w:r>
              <w:rPr>
                <w:bCs/>
                <w:color w:val="000000"/>
              </w:rPr>
              <w:t>贮存</w:t>
            </w:r>
          </w:p>
          <w:p>
            <w:pPr>
              <w:spacing w:line="292" w:lineRule="exact"/>
              <w:jc w:val="center"/>
              <w:rPr>
                <w:bCs/>
                <w:color w:val="000000"/>
              </w:rPr>
            </w:pPr>
            <w:r>
              <w:rPr>
                <w:bCs/>
                <w:color w:val="000000"/>
              </w:rPr>
              <w:t>方式</w:t>
            </w:r>
          </w:p>
        </w:tc>
        <w:tc>
          <w:tcPr>
            <w:tcW w:w="748" w:type="dxa"/>
            <w:vAlign w:val="center"/>
          </w:tcPr>
          <w:p>
            <w:pPr>
              <w:spacing w:line="292" w:lineRule="exact"/>
              <w:jc w:val="center"/>
              <w:rPr>
                <w:bCs/>
                <w:color w:val="000000"/>
              </w:rPr>
            </w:pPr>
            <w:r>
              <w:rPr>
                <w:bCs/>
                <w:color w:val="000000"/>
              </w:rPr>
              <w:t>数量</w:t>
            </w:r>
          </w:p>
        </w:tc>
        <w:tc>
          <w:tcPr>
            <w:tcW w:w="904" w:type="dxa"/>
            <w:vMerge w:val="continue"/>
            <w:vAlign w:val="center"/>
          </w:tcPr>
          <w:p>
            <w:pPr>
              <w:spacing w:line="292" w:lineRule="exact"/>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34" w:type="dxa"/>
            <w:vAlign w:val="center"/>
          </w:tcPr>
          <w:p>
            <w:pPr>
              <w:spacing w:line="292" w:lineRule="exact"/>
              <w:jc w:val="center"/>
              <w:rPr>
                <w:color w:val="000000"/>
              </w:rPr>
            </w:pPr>
            <w:r>
              <w:rPr>
                <w:color w:val="000000"/>
              </w:rPr>
              <w:t>/</w:t>
            </w:r>
          </w:p>
        </w:tc>
        <w:tc>
          <w:tcPr>
            <w:tcW w:w="907" w:type="dxa"/>
            <w:vAlign w:val="center"/>
          </w:tcPr>
          <w:p>
            <w:pPr>
              <w:spacing w:line="292" w:lineRule="exact"/>
              <w:jc w:val="center"/>
              <w:rPr>
                <w:color w:val="000000"/>
              </w:rPr>
            </w:pPr>
            <w:r>
              <w:rPr>
                <w:color w:val="000000"/>
              </w:rPr>
              <w:t>/</w:t>
            </w:r>
          </w:p>
        </w:tc>
        <w:tc>
          <w:tcPr>
            <w:tcW w:w="791" w:type="dxa"/>
            <w:vAlign w:val="center"/>
          </w:tcPr>
          <w:p>
            <w:pPr>
              <w:spacing w:line="292" w:lineRule="exact"/>
              <w:jc w:val="center"/>
              <w:rPr>
                <w:color w:val="000000"/>
              </w:rPr>
            </w:pPr>
            <w:r>
              <w:rPr>
                <w:color w:val="000000"/>
              </w:rPr>
              <w:t>/</w:t>
            </w:r>
          </w:p>
        </w:tc>
        <w:tc>
          <w:tcPr>
            <w:tcW w:w="734" w:type="dxa"/>
            <w:vAlign w:val="center"/>
          </w:tcPr>
          <w:p>
            <w:pPr>
              <w:spacing w:line="292" w:lineRule="exact"/>
              <w:jc w:val="center"/>
              <w:rPr>
                <w:color w:val="000000"/>
              </w:rPr>
            </w:pPr>
            <w:r>
              <w:rPr>
                <w:color w:val="000000"/>
              </w:rPr>
              <w:t>/</w:t>
            </w:r>
          </w:p>
        </w:tc>
        <w:tc>
          <w:tcPr>
            <w:tcW w:w="964" w:type="dxa"/>
            <w:vAlign w:val="center"/>
          </w:tcPr>
          <w:p>
            <w:pPr>
              <w:spacing w:line="292" w:lineRule="exact"/>
              <w:jc w:val="center"/>
              <w:rPr>
                <w:color w:val="000000"/>
              </w:rPr>
            </w:pPr>
            <w:r>
              <w:rPr>
                <w:color w:val="000000"/>
              </w:rPr>
              <w:t>/</w:t>
            </w:r>
          </w:p>
        </w:tc>
        <w:tc>
          <w:tcPr>
            <w:tcW w:w="1477" w:type="dxa"/>
            <w:vAlign w:val="center"/>
          </w:tcPr>
          <w:p>
            <w:pPr>
              <w:spacing w:line="292" w:lineRule="exact"/>
              <w:jc w:val="center"/>
              <w:rPr>
                <w:color w:val="000000"/>
              </w:rPr>
            </w:pPr>
            <w:r>
              <w:rPr>
                <w:color w:val="000000"/>
              </w:rPr>
              <w:t>/</w:t>
            </w:r>
          </w:p>
        </w:tc>
        <w:tc>
          <w:tcPr>
            <w:tcW w:w="1477" w:type="dxa"/>
            <w:vAlign w:val="center"/>
          </w:tcPr>
          <w:p>
            <w:pPr>
              <w:spacing w:line="292" w:lineRule="exact"/>
              <w:jc w:val="center"/>
              <w:rPr>
                <w:color w:val="000000"/>
              </w:rPr>
            </w:pPr>
            <w:r>
              <w:rPr>
                <w:color w:val="000000"/>
              </w:rPr>
              <w:t>/</w:t>
            </w:r>
          </w:p>
        </w:tc>
        <w:tc>
          <w:tcPr>
            <w:tcW w:w="1364" w:type="dxa"/>
            <w:vAlign w:val="center"/>
          </w:tcPr>
          <w:p>
            <w:pPr>
              <w:spacing w:line="292" w:lineRule="exact"/>
              <w:jc w:val="center"/>
              <w:rPr>
                <w:color w:val="000000"/>
              </w:rPr>
            </w:pPr>
            <w:r>
              <w:rPr>
                <w:color w:val="000000"/>
              </w:rPr>
              <w:t>/</w:t>
            </w:r>
          </w:p>
        </w:tc>
        <w:tc>
          <w:tcPr>
            <w:tcW w:w="848" w:type="dxa"/>
            <w:vAlign w:val="center"/>
          </w:tcPr>
          <w:p>
            <w:pPr>
              <w:spacing w:line="292" w:lineRule="exact"/>
              <w:jc w:val="center"/>
              <w:rPr>
                <w:color w:val="000000"/>
              </w:rPr>
            </w:pPr>
            <w:r>
              <w:rPr>
                <w:color w:val="000000"/>
              </w:rPr>
              <w:t>/</w:t>
            </w:r>
          </w:p>
        </w:tc>
        <w:tc>
          <w:tcPr>
            <w:tcW w:w="1364" w:type="dxa"/>
            <w:vAlign w:val="center"/>
          </w:tcPr>
          <w:p>
            <w:pPr>
              <w:spacing w:line="292" w:lineRule="exact"/>
              <w:jc w:val="center"/>
              <w:rPr>
                <w:color w:val="000000"/>
              </w:rPr>
            </w:pPr>
            <w:r>
              <w:rPr>
                <w:color w:val="000000"/>
              </w:rPr>
              <w:t>/</w:t>
            </w:r>
          </w:p>
        </w:tc>
        <w:tc>
          <w:tcPr>
            <w:tcW w:w="978" w:type="dxa"/>
            <w:vAlign w:val="center"/>
          </w:tcPr>
          <w:p>
            <w:pPr>
              <w:spacing w:line="292" w:lineRule="exact"/>
              <w:jc w:val="center"/>
              <w:rPr>
                <w:color w:val="000000"/>
              </w:rPr>
            </w:pPr>
            <w:r>
              <w:rPr>
                <w:color w:val="000000"/>
              </w:rPr>
              <w:t>/</w:t>
            </w:r>
          </w:p>
        </w:tc>
        <w:tc>
          <w:tcPr>
            <w:tcW w:w="884" w:type="dxa"/>
            <w:vAlign w:val="center"/>
          </w:tcPr>
          <w:p>
            <w:pPr>
              <w:spacing w:line="292" w:lineRule="exact"/>
              <w:jc w:val="center"/>
              <w:rPr>
                <w:color w:val="000000"/>
              </w:rPr>
            </w:pPr>
            <w:r>
              <w:rPr>
                <w:color w:val="000000"/>
              </w:rPr>
              <w:t>/</w:t>
            </w:r>
          </w:p>
        </w:tc>
        <w:tc>
          <w:tcPr>
            <w:tcW w:w="748" w:type="dxa"/>
            <w:vAlign w:val="center"/>
          </w:tcPr>
          <w:p>
            <w:pPr>
              <w:spacing w:line="292" w:lineRule="exact"/>
              <w:jc w:val="center"/>
              <w:rPr>
                <w:color w:val="000000"/>
              </w:rPr>
            </w:pPr>
            <w:r>
              <w:rPr>
                <w:color w:val="000000"/>
              </w:rPr>
              <w:t>/</w:t>
            </w:r>
          </w:p>
        </w:tc>
        <w:tc>
          <w:tcPr>
            <w:tcW w:w="904" w:type="dxa"/>
            <w:vAlign w:val="center"/>
          </w:tcPr>
          <w:p>
            <w:pPr>
              <w:spacing w:line="292" w:lineRule="exact"/>
              <w:jc w:val="center"/>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34" w:type="dxa"/>
            <w:vAlign w:val="center"/>
          </w:tcPr>
          <w:p>
            <w:pPr>
              <w:spacing w:line="292" w:lineRule="exact"/>
              <w:jc w:val="center"/>
              <w:rPr>
                <w:color w:val="000000"/>
              </w:rPr>
            </w:pPr>
          </w:p>
        </w:tc>
        <w:tc>
          <w:tcPr>
            <w:tcW w:w="907" w:type="dxa"/>
            <w:vAlign w:val="center"/>
          </w:tcPr>
          <w:p>
            <w:pPr>
              <w:spacing w:line="292" w:lineRule="exact"/>
              <w:jc w:val="center"/>
              <w:rPr>
                <w:color w:val="000000"/>
              </w:rPr>
            </w:pPr>
          </w:p>
        </w:tc>
        <w:tc>
          <w:tcPr>
            <w:tcW w:w="791" w:type="dxa"/>
            <w:vAlign w:val="center"/>
          </w:tcPr>
          <w:p>
            <w:pPr>
              <w:spacing w:line="292" w:lineRule="exact"/>
              <w:jc w:val="center"/>
              <w:rPr>
                <w:color w:val="000000"/>
              </w:rPr>
            </w:pPr>
          </w:p>
        </w:tc>
        <w:tc>
          <w:tcPr>
            <w:tcW w:w="734" w:type="dxa"/>
            <w:vAlign w:val="center"/>
          </w:tcPr>
          <w:p>
            <w:pPr>
              <w:spacing w:line="292" w:lineRule="exact"/>
              <w:jc w:val="center"/>
              <w:rPr>
                <w:color w:val="000000"/>
              </w:rPr>
            </w:pPr>
          </w:p>
        </w:tc>
        <w:tc>
          <w:tcPr>
            <w:tcW w:w="964" w:type="dxa"/>
            <w:vAlign w:val="center"/>
          </w:tcPr>
          <w:p>
            <w:pPr>
              <w:spacing w:line="292" w:lineRule="exact"/>
              <w:jc w:val="center"/>
              <w:rPr>
                <w:color w:val="000000"/>
              </w:rPr>
            </w:pPr>
          </w:p>
        </w:tc>
        <w:tc>
          <w:tcPr>
            <w:tcW w:w="1477" w:type="dxa"/>
            <w:vAlign w:val="center"/>
          </w:tcPr>
          <w:p>
            <w:pPr>
              <w:spacing w:line="292" w:lineRule="exact"/>
              <w:jc w:val="center"/>
              <w:rPr>
                <w:color w:val="000000"/>
              </w:rPr>
            </w:pPr>
          </w:p>
        </w:tc>
        <w:tc>
          <w:tcPr>
            <w:tcW w:w="1477" w:type="dxa"/>
            <w:vAlign w:val="center"/>
          </w:tcPr>
          <w:p>
            <w:pPr>
              <w:spacing w:line="292" w:lineRule="exact"/>
              <w:jc w:val="center"/>
              <w:rPr>
                <w:color w:val="000000"/>
              </w:rPr>
            </w:pPr>
          </w:p>
        </w:tc>
        <w:tc>
          <w:tcPr>
            <w:tcW w:w="1364" w:type="dxa"/>
            <w:vAlign w:val="center"/>
          </w:tcPr>
          <w:p>
            <w:pPr>
              <w:spacing w:line="292" w:lineRule="exact"/>
              <w:jc w:val="center"/>
              <w:rPr>
                <w:color w:val="000000"/>
              </w:rPr>
            </w:pPr>
          </w:p>
        </w:tc>
        <w:tc>
          <w:tcPr>
            <w:tcW w:w="848" w:type="dxa"/>
            <w:vAlign w:val="center"/>
          </w:tcPr>
          <w:p>
            <w:pPr>
              <w:spacing w:line="292" w:lineRule="exact"/>
              <w:jc w:val="center"/>
              <w:rPr>
                <w:color w:val="000000"/>
              </w:rPr>
            </w:pPr>
          </w:p>
        </w:tc>
        <w:tc>
          <w:tcPr>
            <w:tcW w:w="1364" w:type="dxa"/>
            <w:vAlign w:val="center"/>
          </w:tcPr>
          <w:p>
            <w:pPr>
              <w:spacing w:line="292" w:lineRule="exact"/>
              <w:jc w:val="center"/>
              <w:rPr>
                <w:color w:val="000000"/>
              </w:rPr>
            </w:pPr>
          </w:p>
        </w:tc>
        <w:tc>
          <w:tcPr>
            <w:tcW w:w="978" w:type="dxa"/>
            <w:vAlign w:val="center"/>
          </w:tcPr>
          <w:p>
            <w:pPr>
              <w:spacing w:line="292" w:lineRule="exact"/>
              <w:jc w:val="center"/>
              <w:rPr>
                <w:color w:val="000000"/>
              </w:rPr>
            </w:pPr>
          </w:p>
        </w:tc>
        <w:tc>
          <w:tcPr>
            <w:tcW w:w="884" w:type="dxa"/>
            <w:vAlign w:val="center"/>
          </w:tcPr>
          <w:p>
            <w:pPr>
              <w:spacing w:line="292" w:lineRule="exact"/>
              <w:jc w:val="center"/>
              <w:rPr>
                <w:color w:val="000000"/>
              </w:rPr>
            </w:pPr>
          </w:p>
        </w:tc>
        <w:tc>
          <w:tcPr>
            <w:tcW w:w="748" w:type="dxa"/>
            <w:vAlign w:val="center"/>
          </w:tcPr>
          <w:p>
            <w:pPr>
              <w:spacing w:line="292" w:lineRule="exact"/>
              <w:jc w:val="center"/>
              <w:rPr>
                <w:color w:val="000000"/>
              </w:rPr>
            </w:pPr>
          </w:p>
        </w:tc>
        <w:tc>
          <w:tcPr>
            <w:tcW w:w="904" w:type="dxa"/>
            <w:vAlign w:val="center"/>
          </w:tcPr>
          <w:p>
            <w:pPr>
              <w:spacing w:line="292" w:lineRule="exact"/>
              <w:jc w:val="center"/>
              <w:rPr>
                <w:color w:val="000000"/>
              </w:rPr>
            </w:pPr>
          </w:p>
        </w:tc>
      </w:tr>
    </w:tbl>
    <w:p>
      <w:pPr>
        <w:rPr>
          <w:b/>
          <w:bCs/>
          <w:color w:val="000000"/>
        </w:rPr>
        <w:sectPr>
          <w:footerReference r:id="rId7" w:type="default"/>
          <w:pgSz w:w="16838" w:h="11906" w:orient="landscape"/>
          <w:pgMar w:top="1440" w:right="1440" w:bottom="1440" w:left="1440" w:header="851" w:footer="992" w:gutter="0"/>
          <w:pgNumType w:fmt="numberInDash"/>
          <w:cols w:space="720" w:num="1"/>
          <w:docGrid w:type="lines" w:linePitch="334" w:charSpace="0"/>
        </w:sectPr>
      </w:pPr>
    </w:p>
    <w:p>
      <w:pPr>
        <w:pStyle w:val="3"/>
        <w:rPr>
          <w:color w:val="000000"/>
          <w:sz w:val="28"/>
          <w:szCs w:val="28"/>
        </w:rPr>
      </w:pPr>
      <w:bookmarkStart w:id="11" w:name="_Toc31457"/>
      <w:bookmarkStart w:id="12" w:name="_Toc501805937"/>
      <w:r>
        <w:rPr>
          <w:color w:val="000000"/>
          <w:sz w:val="28"/>
          <w:szCs w:val="28"/>
        </w:rPr>
        <w:t>表5 废弃物（重点是放射性废弃物）</w:t>
      </w:r>
      <w:bookmarkEnd w:id="11"/>
      <w:bookmarkEnd w:id="12"/>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966"/>
        <w:gridCol w:w="1355"/>
        <w:gridCol w:w="798"/>
        <w:gridCol w:w="1417"/>
        <w:gridCol w:w="1850"/>
        <w:gridCol w:w="1355"/>
        <w:gridCol w:w="1615"/>
        <w:gridCol w:w="2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376" w:type="dxa"/>
            <w:vAlign w:val="center"/>
          </w:tcPr>
          <w:p>
            <w:pPr>
              <w:snapToGrid w:val="0"/>
              <w:jc w:val="center"/>
              <w:rPr>
                <w:bCs/>
                <w:color w:val="000000"/>
              </w:rPr>
            </w:pPr>
            <w:r>
              <w:rPr>
                <w:bCs/>
                <w:color w:val="000000"/>
              </w:rPr>
              <w:t>名称</w:t>
            </w:r>
          </w:p>
        </w:tc>
        <w:tc>
          <w:tcPr>
            <w:tcW w:w="966" w:type="dxa"/>
            <w:vAlign w:val="center"/>
          </w:tcPr>
          <w:p>
            <w:pPr>
              <w:snapToGrid w:val="0"/>
              <w:jc w:val="center"/>
              <w:rPr>
                <w:bCs/>
                <w:color w:val="000000"/>
              </w:rPr>
            </w:pPr>
            <w:r>
              <w:rPr>
                <w:bCs/>
                <w:color w:val="000000"/>
              </w:rPr>
              <w:t>状态</w:t>
            </w:r>
          </w:p>
        </w:tc>
        <w:tc>
          <w:tcPr>
            <w:tcW w:w="1355" w:type="dxa"/>
            <w:vAlign w:val="center"/>
          </w:tcPr>
          <w:p>
            <w:pPr>
              <w:snapToGrid w:val="0"/>
              <w:jc w:val="center"/>
              <w:rPr>
                <w:bCs/>
                <w:color w:val="000000"/>
              </w:rPr>
            </w:pPr>
            <w:r>
              <w:rPr>
                <w:bCs/>
                <w:color w:val="000000"/>
              </w:rPr>
              <w:t>核素名称</w:t>
            </w:r>
          </w:p>
        </w:tc>
        <w:tc>
          <w:tcPr>
            <w:tcW w:w="798" w:type="dxa"/>
            <w:vAlign w:val="center"/>
          </w:tcPr>
          <w:p>
            <w:pPr>
              <w:snapToGrid w:val="0"/>
              <w:jc w:val="center"/>
              <w:rPr>
                <w:bCs/>
                <w:color w:val="000000"/>
              </w:rPr>
            </w:pPr>
            <w:r>
              <w:rPr>
                <w:bCs/>
                <w:color w:val="000000"/>
              </w:rPr>
              <w:t>活度</w:t>
            </w:r>
          </w:p>
        </w:tc>
        <w:tc>
          <w:tcPr>
            <w:tcW w:w="1417" w:type="dxa"/>
            <w:vAlign w:val="center"/>
          </w:tcPr>
          <w:p>
            <w:pPr>
              <w:snapToGrid w:val="0"/>
              <w:jc w:val="center"/>
              <w:rPr>
                <w:bCs/>
                <w:color w:val="000000"/>
              </w:rPr>
            </w:pPr>
            <w:r>
              <w:rPr>
                <w:bCs/>
                <w:color w:val="000000"/>
              </w:rPr>
              <w:t>月排放量</w:t>
            </w:r>
          </w:p>
        </w:tc>
        <w:tc>
          <w:tcPr>
            <w:tcW w:w="1850" w:type="dxa"/>
            <w:vAlign w:val="center"/>
          </w:tcPr>
          <w:p>
            <w:pPr>
              <w:adjustRightInd w:val="0"/>
              <w:snapToGrid w:val="0"/>
              <w:ind w:left="-120" w:leftChars="-50" w:right="-120" w:rightChars="-50"/>
              <w:jc w:val="center"/>
              <w:rPr>
                <w:bCs/>
                <w:color w:val="000000"/>
              </w:rPr>
            </w:pPr>
            <w:r>
              <w:rPr>
                <w:bCs/>
                <w:color w:val="000000"/>
              </w:rPr>
              <w:t>年排放总量</w:t>
            </w:r>
          </w:p>
        </w:tc>
        <w:tc>
          <w:tcPr>
            <w:tcW w:w="1355" w:type="dxa"/>
            <w:vAlign w:val="center"/>
          </w:tcPr>
          <w:p>
            <w:pPr>
              <w:adjustRightInd w:val="0"/>
              <w:snapToGrid w:val="0"/>
              <w:ind w:left="-120" w:leftChars="-50" w:right="-120" w:rightChars="-50"/>
              <w:jc w:val="center"/>
              <w:rPr>
                <w:bCs/>
                <w:color w:val="000000"/>
              </w:rPr>
            </w:pPr>
            <w:r>
              <w:rPr>
                <w:bCs/>
                <w:color w:val="000000"/>
              </w:rPr>
              <w:t>排放口浓度</w:t>
            </w:r>
          </w:p>
        </w:tc>
        <w:tc>
          <w:tcPr>
            <w:tcW w:w="1615" w:type="dxa"/>
            <w:vAlign w:val="center"/>
          </w:tcPr>
          <w:p>
            <w:pPr>
              <w:snapToGrid w:val="0"/>
              <w:jc w:val="center"/>
              <w:rPr>
                <w:bCs/>
                <w:color w:val="000000"/>
              </w:rPr>
            </w:pPr>
            <w:r>
              <w:rPr>
                <w:bCs/>
                <w:color w:val="000000"/>
              </w:rPr>
              <w:t>暂存情况</w:t>
            </w:r>
          </w:p>
        </w:tc>
        <w:tc>
          <w:tcPr>
            <w:tcW w:w="2442" w:type="dxa"/>
            <w:vAlign w:val="center"/>
          </w:tcPr>
          <w:p>
            <w:pPr>
              <w:snapToGrid w:val="0"/>
              <w:jc w:val="center"/>
              <w:rPr>
                <w:bCs/>
                <w:color w:val="000000"/>
              </w:rPr>
            </w:pPr>
            <w:r>
              <w:rPr>
                <w:bCs/>
                <w:color w:val="000000"/>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376" w:type="dxa"/>
            <w:vAlign w:val="center"/>
          </w:tcPr>
          <w:p>
            <w:pPr>
              <w:jc w:val="center"/>
              <w:rPr>
                <w:bCs/>
                <w:color w:val="000000"/>
              </w:rPr>
            </w:pPr>
            <w:r>
              <w:rPr>
                <w:color w:val="000000"/>
              </w:rPr>
              <w:t>臭氧、</w:t>
            </w:r>
            <w:r>
              <w:rPr>
                <w:bCs/>
                <w:color w:val="000000"/>
              </w:rPr>
              <w:t>氮氧化物等</w:t>
            </w:r>
          </w:p>
        </w:tc>
        <w:tc>
          <w:tcPr>
            <w:tcW w:w="966" w:type="dxa"/>
            <w:vAlign w:val="center"/>
          </w:tcPr>
          <w:p>
            <w:pPr>
              <w:jc w:val="center"/>
              <w:rPr>
                <w:bCs/>
                <w:color w:val="000000"/>
              </w:rPr>
            </w:pPr>
            <w:r>
              <w:rPr>
                <w:bCs/>
                <w:color w:val="000000"/>
              </w:rPr>
              <w:t>气态</w:t>
            </w:r>
          </w:p>
        </w:tc>
        <w:tc>
          <w:tcPr>
            <w:tcW w:w="1355" w:type="dxa"/>
            <w:vAlign w:val="center"/>
          </w:tcPr>
          <w:p>
            <w:pPr>
              <w:jc w:val="center"/>
              <w:rPr>
                <w:bCs/>
                <w:color w:val="000000"/>
              </w:rPr>
            </w:pPr>
            <w:r>
              <w:rPr>
                <w:color w:val="000000"/>
              </w:rPr>
              <w:t>/</w:t>
            </w:r>
          </w:p>
        </w:tc>
        <w:tc>
          <w:tcPr>
            <w:tcW w:w="798" w:type="dxa"/>
            <w:vAlign w:val="center"/>
          </w:tcPr>
          <w:p>
            <w:pPr>
              <w:jc w:val="center"/>
              <w:rPr>
                <w:bCs/>
                <w:color w:val="000000"/>
              </w:rPr>
            </w:pPr>
            <w:r>
              <w:rPr>
                <w:color w:val="000000"/>
              </w:rPr>
              <w:t>/</w:t>
            </w:r>
          </w:p>
        </w:tc>
        <w:tc>
          <w:tcPr>
            <w:tcW w:w="1417" w:type="dxa"/>
            <w:vAlign w:val="center"/>
          </w:tcPr>
          <w:p>
            <w:pPr>
              <w:jc w:val="center"/>
              <w:rPr>
                <w:bCs/>
                <w:color w:val="000000"/>
              </w:rPr>
            </w:pPr>
            <w:r>
              <w:rPr>
                <w:color w:val="000000"/>
              </w:rPr>
              <w:t>/</w:t>
            </w:r>
          </w:p>
        </w:tc>
        <w:tc>
          <w:tcPr>
            <w:tcW w:w="1850" w:type="dxa"/>
            <w:vAlign w:val="center"/>
          </w:tcPr>
          <w:p>
            <w:pPr>
              <w:jc w:val="center"/>
              <w:rPr>
                <w:bCs/>
                <w:color w:val="000000"/>
              </w:rPr>
            </w:pPr>
            <w:r>
              <w:rPr>
                <w:color w:val="000000"/>
              </w:rPr>
              <w:t>较少</w:t>
            </w:r>
          </w:p>
        </w:tc>
        <w:tc>
          <w:tcPr>
            <w:tcW w:w="1355" w:type="dxa"/>
            <w:vAlign w:val="center"/>
          </w:tcPr>
          <w:p>
            <w:pPr>
              <w:jc w:val="center"/>
              <w:rPr>
                <w:bCs/>
                <w:color w:val="000000"/>
              </w:rPr>
            </w:pPr>
            <w:r>
              <w:rPr>
                <w:color w:val="000000"/>
              </w:rPr>
              <w:t>/</w:t>
            </w:r>
          </w:p>
        </w:tc>
        <w:tc>
          <w:tcPr>
            <w:tcW w:w="1615" w:type="dxa"/>
            <w:vAlign w:val="center"/>
          </w:tcPr>
          <w:p>
            <w:pPr>
              <w:jc w:val="center"/>
              <w:rPr>
                <w:bCs/>
                <w:color w:val="000000"/>
              </w:rPr>
            </w:pPr>
            <w:r>
              <w:rPr>
                <w:color w:val="000000"/>
              </w:rPr>
              <w:t>/</w:t>
            </w:r>
          </w:p>
        </w:tc>
        <w:tc>
          <w:tcPr>
            <w:tcW w:w="2442" w:type="dxa"/>
            <w:vAlign w:val="center"/>
          </w:tcPr>
          <w:p>
            <w:pPr>
              <w:spacing w:before="30" w:line="310" w:lineRule="exact"/>
              <w:jc w:val="center"/>
              <w:rPr>
                <w:bCs/>
                <w:color w:val="000000"/>
              </w:rPr>
            </w:pPr>
            <w:r>
              <w:rPr>
                <w:color w:val="000000"/>
              </w:rPr>
              <w:t>由</w:t>
            </w:r>
            <w:r>
              <w:rPr>
                <w:rFonts w:hint="eastAsia"/>
                <w:color w:val="000000"/>
              </w:rPr>
              <w:t>新风净化系统净化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376" w:type="dxa"/>
            <w:vAlign w:val="center"/>
          </w:tcPr>
          <w:p>
            <w:pPr>
              <w:jc w:val="center"/>
              <w:rPr>
                <w:color w:val="000000"/>
              </w:rPr>
            </w:pPr>
            <w:r>
              <w:rPr>
                <w:color w:val="000000"/>
              </w:rPr>
              <w:t>/</w:t>
            </w:r>
          </w:p>
        </w:tc>
        <w:tc>
          <w:tcPr>
            <w:tcW w:w="966" w:type="dxa"/>
            <w:vAlign w:val="center"/>
          </w:tcPr>
          <w:p>
            <w:pPr>
              <w:jc w:val="center"/>
              <w:rPr>
                <w:bCs/>
                <w:color w:val="000000"/>
              </w:rPr>
            </w:pPr>
            <w:r>
              <w:rPr>
                <w:color w:val="000000"/>
              </w:rPr>
              <w:t>/</w:t>
            </w:r>
          </w:p>
        </w:tc>
        <w:tc>
          <w:tcPr>
            <w:tcW w:w="1355" w:type="dxa"/>
            <w:vAlign w:val="center"/>
          </w:tcPr>
          <w:p>
            <w:pPr>
              <w:jc w:val="center"/>
              <w:rPr>
                <w:bCs/>
                <w:color w:val="000000"/>
              </w:rPr>
            </w:pPr>
            <w:r>
              <w:rPr>
                <w:color w:val="000000"/>
              </w:rPr>
              <w:t>/</w:t>
            </w:r>
          </w:p>
        </w:tc>
        <w:tc>
          <w:tcPr>
            <w:tcW w:w="798" w:type="dxa"/>
            <w:vAlign w:val="center"/>
          </w:tcPr>
          <w:p>
            <w:pPr>
              <w:jc w:val="center"/>
              <w:rPr>
                <w:bCs/>
                <w:color w:val="000000"/>
              </w:rPr>
            </w:pPr>
            <w:r>
              <w:rPr>
                <w:color w:val="000000"/>
              </w:rPr>
              <w:t>/</w:t>
            </w:r>
          </w:p>
        </w:tc>
        <w:tc>
          <w:tcPr>
            <w:tcW w:w="1417" w:type="dxa"/>
            <w:vAlign w:val="center"/>
          </w:tcPr>
          <w:p>
            <w:pPr>
              <w:jc w:val="center"/>
              <w:rPr>
                <w:bCs/>
                <w:color w:val="000000"/>
              </w:rPr>
            </w:pPr>
            <w:r>
              <w:rPr>
                <w:color w:val="000000"/>
              </w:rPr>
              <w:t>/</w:t>
            </w:r>
          </w:p>
        </w:tc>
        <w:tc>
          <w:tcPr>
            <w:tcW w:w="1850" w:type="dxa"/>
            <w:vAlign w:val="center"/>
          </w:tcPr>
          <w:p>
            <w:pPr>
              <w:jc w:val="center"/>
              <w:rPr>
                <w:bCs/>
                <w:color w:val="000000"/>
              </w:rPr>
            </w:pPr>
            <w:r>
              <w:rPr>
                <w:color w:val="000000"/>
              </w:rPr>
              <w:t>/</w:t>
            </w:r>
          </w:p>
        </w:tc>
        <w:tc>
          <w:tcPr>
            <w:tcW w:w="1355" w:type="dxa"/>
            <w:vAlign w:val="center"/>
          </w:tcPr>
          <w:p>
            <w:pPr>
              <w:jc w:val="center"/>
              <w:rPr>
                <w:bCs/>
                <w:color w:val="000000"/>
              </w:rPr>
            </w:pPr>
            <w:r>
              <w:rPr>
                <w:color w:val="000000"/>
              </w:rPr>
              <w:t>/</w:t>
            </w:r>
          </w:p>
        </w:tc>
        <w:tc>
          <w:tcPr>
            <w:tcW w:w="1615" w:type="dxa"/>
            <w:vAlign w:val="center"/>
          </w:tcPr>
          <w:p>
            <w:pPr>
              <w:jc w:val="center"/>
              <w:rPr>
                <w:bCs/>
                <w:color w:val="000000"/>
              </w:rPr>
            </w:pPr>
            <w:r>
              <w:rPr>
                <w:color w:val="000000"/>
              </w:rPr>
              <w:t>/</w:t>
            </w:r>
          </w:p>
        </w:tc>
        <w:tc>
          <w:tcPr>
            <w:tcW w:w="2442" w:type="dxa"/>
            <w:vAlign w:val="center"/>
          </w:tcPr>
          <w:p>
            <w:pPr>
              <w:spacing w:before="30" w:line="310" w:lineRule="exact"/>
              <w:jc w:val="center"/>
              <w:rPr>
                <w:bCs/>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376" w:type="dxa"/>
            <w:vAlign w:val="center"/>
          </w:tcPr>
          <w:p>
            <w:pPr>
              <w:jc w:val="center"/>
              <w:rPr>
                <w:bCs/>
                <w:color w:val="000000"/>
              </w:rPr>
            </w:pPr>
          </w:p>
        </w:tc>
        <w:tc>
          <w:tcPr>
            <w:tcW w:w="966" w:type="dxa"/>
            <w:vAlign w:val="center"/>
          </w:tcPr>
          <w:p>
            <w:pPr>
              <w:jc w:val="center"/>
              <w:rPr>
                <w:bCs/>
                <w:color w:val="000000"/>
              </w:rPr>
            </w:pPr>
          </w:p>
        </w:tc>
        <w:tc>
          <w:tcPr>
            <w:tcW w:w="1355" w:type="dxa"/>
            <w:vAlign w:val="center"/>
          </w:tcPr>
          <w:p>
            <w:pPr>
              <w:jc w:val="center"/>
              <w:rPr>
                <w:bCs/>
                <w:color w:val="000000"/>
              </w:rPr>
            </w:pPr>
          </w:p>
        </w:tc>
        <w:tc>
          <w:tcPr>
            <w:tcW w:w="798" w:type="dxa"/>
            <w:vAlign w:val="center"/>
          </w:tcPr>
          <w:p>
            <w:pPr>
              <w:jc w:val="center"/>
              <w:rPr>
                <w:bCs/>
                <w:color w:val="000000"/>
              </w:rPr>
            </w:pPr>
          </w:p>
        </w:tc>
        <w:tc>
          <w:tcPr>
            <w:tcW w:w="1417" w:type="dxa"/>
            <w:vAlign w:val="center"/>
          </w:tcPr>
          <w:p>
            <w:pPr>
              <w:jc w:val="center"/>
              <w:rPr>
                <w:bCs/>
                <w:color w:val="000000"/>
              </w:rPr>
            </w:pPr>
          </w:p>
        </w:tc>
        <w:tc>
          <w:tcPr>
            <w:tcW w:w="1850" w:type="dxa"/>
            <w:vAlign w:val="center"/>
          </w:tcPr>
          <w:p>
            <w:pPr>
              <w:jc w:val="center"/>
              <w:rPr>
                <w:bCs/>
                <w:color w:val="000000"/>
              </w:rPr>
            </w:pPr>
          </w:p>
        </w:tc>
        <w:tc>
          <w:tcPr>
            <w:tcW w:w="1355" w:type="dxa"/>
            <w:vAlign w:val="center"/>
          </w:tcPr>
          <w:p>
            <w:pPr>
              <w:jc w:val="center"/>
              <w:rPr>
                <w:bCs/>
                <w:color w:val="000000"/>
              </w:rPr>
            </w:pPr>
          </w:p>
        </w:tc>
        <w:tc>
          <w:tcPr>
            <w:tcW w:w="1615" w:type="dxa"/>
            <w:vAlign w:val="center"/>
          </w:tcPr>
          <w:p>
            <w:pPr>
              <w:jc w:val="center"/>
              <w:rPr>
                <w:bCs/>
                <w:color w:val="000000"/>
              </w:rPr>
            </w:pPr>
          </w:p>
        </w:tc>
        <w:tc>
          <w:tcPr>
            <w:tcW w:w="2442" w:type="dxa"/>
            <w:vAlign w:val="center"/>
          </w:tcPr>
          <w:p>
            <w:pPr>
              <w:jc w:val="center"/>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376" w:type="dxa"/>
            <w:vAlign w:val="center"/>
          </w:tcPr>
          <w:p>
            <w:pPr>
              <w:jc w:val="center"/>
              <w:rPr>
                <w:bCs/>
                <w:color w:val="000000"/>
              </w:rPr>
            </w:pPr>
          </w:p>
        </w:tc>
        <w:tc>
          <w:tcPr>
            <w:tcW w:w="966" w:type="dxa"/>
            <w:vAlign w:val="center"/>
          </w:tcPr>
          <w:p>
            <w:pPr>
              <w:jc w:val="center"/>
              <w:rPr>
                <w:bCs/>
                <w:color w:val="000000"/>
              </w:rPr>
            </w:pPr>
          </w:p>
        </w:tc>
        <w:tc>
          <w:tcPr>
            <w:tcW w:w="1355" w:type="dxa"/>
            <w:vAlign w:val="center"/>
          </w:tcPr>
          <w:p>
            <w:pPr>
              <w:jc w:val="center"/>
              <w:rPr>
                <w:bCs/>
                <w:color w:val="000000"/>
              </w:rPr>
            </w:pPr>
          </w:p>
        </w:tc>
        <w:tc>
          <w:tcPr>
            <w:tcW w:w="798" w:type="dxa"/>
            <w:vAlign w:val="center"/>
          </w:tcPr>
          <w:p>
            <w:pPr>
              <w:jc w:val="center"/>
              <w:rPr>
                <w:bCs/>
                <w:color w:val="000000"/>
              </w:rPr>
            </w:pPr>
          </w:p>
        </w:tc>
        <w:tc>
          <w:tcPr>
            <w:tcW w:w="1417" w:type="dxa"/>
            <w:vAlign w:val="center"/>
          </w:tcPr>
          <w:p>
            <w:pPr>
              <w:jc w:val="center"/>
              <w:rPr>
                <w:bCs/>
                <w:color w:val="000000"/>
              </w:rPr>
            </w:pPr>
          </w:p>
        </w:tc>
        <w:tc>
          <w:tcPr>
            <w:tcW w:w="1850" w:type="dxa"/>
            <w:vAlign w:val="center"/>
          </w:tcPr>
          <w:p>
            <w:pPr>
              <w:jc w:val="center"/>
              <w:rPr>
                <w:bCs/>
                <w:color w:val="000000"/>
              </w:rPr>
            </w:pPr>
          </w:p>
        </w:tc>
        <w:tc>
          <w:tcPr>
            <w:tcW w:w="1355" w:type="dxa"/>
            <w:vAlign w:val="center"/>
          </w:tcPr>
          <w:p>
            <w:pPr>
              <w:jc w:val="center"/>
              <w:rPr>
                <w:bCs/>
                <w:color w:val="000000"/>
              </w:rPr>
            </w:pPr>
          </w:p>
        </w:tc>
        <w:tc>
          <w:tcPr>
            <w:tcW w:w="1615" w:type="dxa"/>
            <w:vAlign w:val="center"/>
          </w:tcPr>
          <w:p>
            <w:pPr>
              <w:jc w:val="center"/>
              <w:rPr>
                <w:bCs/>
                <w:color w:val="000000"/>
              </w:rPr>
            </w:pPr>
          </w:p>
        </w:tc>
        <w:tc>
          <w:tcPr>
            <w:tcW w:w="2442" w:type="dxa"/>
            <w:vAlign w:val="center"/>
          </w:tcPr>
          <w:p>
            <w:pPr>
              <w:jc w:val="center"/>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376" w:type="dxa"/>
            <w:vAlign w:val="center"/>
          </w:tcPr>
          <w:p>
            <w:pPr>
              <w:jc w:val="center"/>
              <w:rPr>
                <w:bCs/>
                <w:color w:val="000000"/>
              </w:rPr>
            </w:pPr>
          </w:p>
        </w:tc>
        <w:tc>
          <w:tcPr>
            <w:tcW w:w="966" w:type="dxa"/>
            <w:vAlign w:val="center"/>
          </w:tcPr>
          <w:p>
            <w:pPr>
              <w:jc w:val="center"/>
              <w:rPr>
                <w:bCs/>
                <w:color w:val="000000"/>
              </w:rPr>
            </w:pPr>
          </w:p>
        </w:tc>
        <w:tc>
          <w:tcPr>
            <w:tcW w:w="1355" w:type="dxa"/>
            <w:vAlign w:val="center"/>
          </w:tcPr>
          <w:p>
            <w:pPr>
              <w:jc w:val="center"/>
              <w:rPr>
                <w:bCs/>
                <w:color w:val="000000"/>
              </w:rPr>
            </w:pPr>
          </w:p>
        </w:tc>
        <w:tc>
          <w:tcPr>
            <w:tcW w:w="798" w:type="dxa"/>
            <w:vAlign w:val="center"/>
          </w:tcPr>
          <w:p>
            <w:pPr>
              <w:jc w:val="center"/>
              <w:rPr>
                <w:bCs/>
                <w:color w:val="000000"/>
              </w:rPr>
            </w:pPr>
          </w:p>
        </w:tc>
        <w:tc>
          <w:tcPr>
            <w:tcW w:w="1417" w:type="dxa"/>
            <w:vAlign w:val="center"/>
          </w:tcPr>
          <w:p>
            <w:pPr>
              <w:jc w:val="center"/>
              <w:rPr>
                <w:bCs/>
                <w:color w:val="000000"/>
              </w:rPr>
            </w:pPr>
          </w:p>
        </w:tc>
        <w:tc>
          <w:tcPr>
            <w:tcW w:w="1850" w:type="dxa"/>
            <w:vAlign w:val="center"/>
          </w:tcPr>
          <w:p>
            <w:pPr>
              <w:jc w:val="center"/>
              <w:rPr>
                <w:bCs/>
                <w:color w:val="000000"/>
              </w:rPr>
            </w:pPr>
          </w:p>
        </w:tc>
        <w:tc>
          <w:tcPr>
            <w:tcW w:w="1355" w:type="dxa"/>
            <w:vAlign w:val="center"/>
          </w:tcPr>
          <w:p>
            <w:pPr>
              <w:jc w:val="center"/>
              <w:rPr>
                <w:bCs/>
                <w:color w:val="000000"/>
              </w:rPr>
            </w:pPr>
          </w:p>
        </w:tc>
        <w:tc>
          <w:tcPr>
            <w:tcW w:w="1615" w:type="dxa"/>
            <w:vAlign w:val="center"/>
          </w:tcPr>
          <w:p>
            <w:pPr>
              <w:jc w:val="center"/>
              <w:rPr>
                <w:bCs/>
                <w:color w:val="000000"/>
              </w:rPr>
            </w:pPr>
          </w:p>
        </w:tc>
        <w:tc>
          <w:tcPr>
            <w:tcW w:w="2442" w:type="dxa"/>
            <w:vAlign w:val="center"/>
          </w:tcPr>
          <w:p>
            <w:pPr>
              <w:jc w:val="center"/>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376" w:type="dxa"/>
            <w:vAlign w:val="center"/>
          </w:tcPr>
          <w:p>
            <w:pPr>
              <w:jc w:val="center"/>
              <w:rPr>
                <w:bCs/>
                <w:color w:val="000000"/>
              </w:rPr>
            </w:pPr>
          </w:p>
        </w:tc>
        <w:tc>
          <w:tcPr>
            <w:tcW w:w="966" w:type="dxa"/>
            <w:vAlign w:val="center"/>
          </w:tcPr>
          <w:p>
            <w:pPr>
              <w:jc w:val="center"/>
              <w:rPr>
                <w:bCs/>
                <w:color w:val="000000"/>
              </w:rPr>
            </w:pPr>
          </w:p>
        </w:tc>
        <w:tc>
          <w:tcPr>
            <w:tcW w:w="1355" w:type="dxa"/>
            <w:vAlign w:val="center"/>
          </w:tcPr>
          <w:p>
            <w:pPr>
              <w:jc w:val="center"/>
              <w:rPr>
                <w:bCs/>
                <w:color w:val="000000"/>
              </w:rPr>
            </w:pPr>
          </w:p>
        </w:tc>
        <w:tc>
          <w:tcPr>
            <w:tcW w:w="798" w:type="dxa"/>
            <w:vAlign w:val="center"/>
          </w:tcPr>
          <w:p>
            <w:pPr>
              <w:jc w:val="center"/>
              <w:rPr>
                <w:bCs/>
                <w:color w:val="000000"/>
              </w:rPr>
            </w:pPr>
          </w:p>
        </w:tc>
        <w:tc>
          <w:tcPr>
            <w:tcW w:w="1417" w:type="dxa"/>
            <w:vAlign w:val="center"/>
          </w:tcPr>
          <w:p>
            <w:pPr>
              <w:jc w:val="center"/>
              <w:rPr>
                <w:bCs/>
                <w:color w:val="000000"/>
              </w:rPr>
            </w:pPr>
          </w:p>
        </w:tc>
        <w:tc>
          <w:tcPr>
            <w:tcW w:w="1850" w:type="dxa"/>
            <w:vAlign w:val="center"/>
          </w:tcPr>
          <w:p>
            <w:pPr>
              <w:jc w:val="center"/>
              <w:rPr>
                <w:bCs/>
                <w:color w:val="000000"/>
              </w:rPr>
            </w:pPr>
          </w:p>
        </w:tc>
        <w:tc>
          <w:tcPr>
            <w:tcW w:w="1355" w:type="dxa"/>
            <w:vAlign w:val="center"/>
          </w:tcPr>
          <w:p>
            <w:pPr>
              <w:jc w:val="center"/>
              <w:rPr>
                <w:bCs/>
                <w:color w:val="000000"/>
              </w:rPr>
            </w:pPr>
          </w:p>
        </w:tc>
        <w:tc>
          <w:tcPr>
            <w:tcW w:w="1615" w:type="dxa"/>
            <w:vAlign w:val="center"/>
          </w:tcPr>
          <w:p>
            <w:pPr>
              <w:jc w:val="center"/>
              <w:rPr>
                <w:bCs/>
                <w:color w:val="000000"/>
              </w:rPr>
            </w:pPr>
          </w:p>
        </w:tc>
        <w:tc>
          <w:tcPr>
            <w:tcW w:w="2442" w:type="dxa"/>
            <w:vAlign w:val="center"/>
          </w:tcPr>
          <w:p>
            <w:pPr>
              <w:jc w:val="center"/>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2376" w:type="dxa"/>
            <w:vAlign w:val="center"/>
          </w:tcPr>
          <w:p>
            <w:pPr>
              <w:jc w:val="center"/>
              <w:rPr>
                <w:b/>
                <w:bCs/>
                <w:color w:val="000000"/>
              </w:rPr>
            </w:pPr>
          </w:p>
        </w:tc>
        <w:tc>
          <w:tcPr>
            <w:tcW w:w="966" w:type="dxa"/>
            <w:vAlign w:val="center"/>
          </w:tcPr>
          <w:p>
            <w:pPr>
              <w:jc w:val="center"/>
              <w:rPr>
                <w:b/>
                <w:bCs/>
                <w:color w:val="000000"/>
              </w:rPr>
            </w:pPr>
          </w:p>
        </w:tc>
        <w:tc>
          <w:tcPr>
            <w:tcW w:w="1355" w:type="dxa"/>
            <w:vAlign w:val="center"/>
          </w:tcPr>
          <w:p>
            <w:pPr>
              <w:jc w:val="center"/>
              <w:rPr>
                <w:b/>
                <w:bCs/>
                <w:color w:val="000000"/>
              </w:rPr>
            </w:pPr>
          </w:p>
        </w:tc>
        <w:tc>
          <w:tcPr>
            <w:tcW w:w="798" w:type="dxa"/>
            <w:vAlign w:val="center"/>
          </w:tcPr>
          <w:p>
            <w:pPr>
              <w:jc w:val="center"/>
              <w:rPr>
                <w:b/>
                <w:bCs/>
                <w:color w:val="000000"/>
              </w:rPr>
            </w:pPr>
          </w:p>
        </w:tc>
        <w:tc>
          <w:tcPr>
            <w:tcW w:w="1417" w:type="dxa"/>
            <w:vAlign w:val="center"/>
          </w:tcPr>
          <w:p>
            <w:pPr>
              <w:jc w:val="center"/>
              <w:rPr>
                <w:b/>
                <w:bCs/>
                <w:color w:val="000000"/>
              </w:rPr>
            </w:pPr>
          </w:p>
        </w:tc>
        <w:tc>
          <w:tcPr>
            <w:tcW w:w="1850" w:type="dxa"/>
            <w:vAlign w:val="center"/>
          </w:tcPr>
          <w:p>
            <w:pPr>
              <w:jc w:val="center"/>
              <w:rPr>
                <w:b/>
                <w:bCs/>
                <w:color w:val="000000"/>
              </w:rPr>
            </w:pPr>
          </w:p>
        </w:tc>
        <w:tc>
          <w:tcPr>
            <w:tcW w:w="1355" w:type="dxa"/>
            <w:vAlign w:val="center"/>
          </w:tcPr>
          <w:p>
            <w:pPr>
              <w:jc w:val="center"/>
              <w:rPr>
                <w:b/>
                <w:bCs/>
                <w:color w:val="000000"/>
              </w:rPr>
            </w:pPr>
          </w:p>
        </w:tc>
        <w:tc>
          <w:tcPr>
            <w:tcW w:w="1615" w:type="dxa"/>
            <w:vAlign w:val="center"/>
          </w:tcPr>
          <w:p>
            <w:pPr>
              <w:jc w:val="center"/>
              <w:rPr>
                <w:b/>
                <w:bCs/>
                <w:color w:val="000000"/>
              </w:rPr>
            </w:pPr>
          </w:p>
        </w:tc>
        <w:tc>
          <w:tcPr>
            <w:tcW w:w="2442" w:type="dxa"/>
            <w:vAlign w:val="center"/>
          </w:tcPr>
          <w:p>
            <w:pPr>
              <w:jc w:val="center"/>
              <w:rPr>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2376" w:type="dxa"/>
            <w:vAlign w:val="center"/>
          </w:tcPr>
          <w:p>
            <w:pPr>
              <w:jc w:val="center"/>
              <w:rPr>
                <w:b/>
                <w:bCs/>
                <w:color w:val="000000"/>
              </w:rPr>
            </w:pPr>
          </w:p>
        </w:tc>
        <w:tc>
          <w:tcPr>
            <w:tcW w:w="966" w:type="dxa"/>
            <w:vAlign w:val="center"/>
          </w:tcPr>
          <w:p>
            <w:pPr>
              <w:jc w:val="center"/>
              <w:rPr>
                <w:b/>
                <w:bCs/>
                <w:color w:val="000000"/>
              </w:rPr>
            </w:pPr>
          </w:p>
        </w:tc>
        <w:tc>
          <w:tcPr>
            <w:tcW w:w="1355" w:type="dxa"/>
            <w:vAlign w:val="center"/>
          </w:tcPr>
          <w:p>
            <w:pPr>
              <w:jc w:val="center"/>
              <w:rPr>
                <w:b/>
                <w:bCs/>
                <w:color w:val="000000"/>
              </w:rPr>
            </w:pPr>
          </w:p>
        </w:tc>
        <w:tc>
          <w:tcPr>
            <w:tcW w:w="798" w:type="dxa"/>
            <w:vAlign w:val="center"/>
          </w:tcPr>
          <w:p>
            <w:pPr>
              <w:jc w:val="center"/>
              <w:rPr>
                <w:b/>
                <w:bCs/>
                <w:color w:val="000000"/>
              </w:rPr>
            </w:pPr>
          </w:p>
        </w:tc>
        <w:tc>
          <w:tcPr>
            <w:tcW w:w="1417" w:type="dxa"/>
            <w:vAlign w:val="center"/>
          </w:tcPr>
          <w:p>
            <w:pPr>
              <w:jc w:val="center"/>
              <w:rPr>
                <w:b/>
                <w:bCs/>
                <w:color w:val="000000"/>
              </w:rPr>
            </w:pPr>
          </w:p>
        </w:tc>
        <w:tc>
          <w:tcPr>
            <w:tcW w:w="1850" w:type="dxa"/>
            <w:vAlign w:val="center"/>
          </w:tcPr>
          <w:p>
            <w:pPr>
              <w:jc w:val="center"/>
              <w:rPr>
                <w:b/>
                <w:bCs/>
                <w:color w:val="000000"/>
              </w:rPr>
            </w:pPr>
          </w:p>
        </w:tc>
        <w:tc>
          <w:tcPr>
            <w:tcW w:w="1355" w:type="dxa"/>
            <w:vAlign w:val="center"/>
          </w:tcPr>
          <w:p>
            <w:pPr>
              <w:jc w:val="center"/>
              <w:rPr>
                <w:b/>
                <w:bCs/>
                <w:color w:val="000000"/>
              </w:rPr>
            </w:pPr>
          </w:p>
        </w:tc>
        <w:tc>
          <w:tcPr>
            <w:tcW w:w="1615" w:type="dxa"/>
            <w:vAlign w:val="center"/>
          </w:tcPr>
          <w:p>
            <w:pPr>
              <w:jc w:val="center"/>
              <w:rPr>
                <w:b/>
                <w:bCs/>
                <w:color w:val="000000"/>
              </w:rPr>
            </w:pPr>
          </w:p>
        </w:tc>
        <w:tc>
          <w:tcPr>
            <w:tcW w:w="2442" w:type="dxa"/>
            <w:vAlign w:val="center"/>
          </w:tcPr>
          <w:p>
            <w:pPr>
              <w:jc w:val="center"/>
              <w:rPr>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376" w:type="dxa"/>
            <w:vAlign w:val="center"/>
          </w:tcPr>
          <w:p>
            <w:pPr>
              <w:jc w:val="center"/>
              <w:rPr>
                <w:b/>
                <w:bCs/>
                <w:color w:val="000000"/>
              </w:rPr>
            </w:pPr>
          </w:p>
        </w:tc>
        <w:tc>
          <w:tcPr>
            <w:tcW w:w="966" w:type="dxa"/>
            <w:vAlign w:val="center"/>
          </w:tcPr>
          <w:p>
            <w:pPr>
              <w:jc w:val="center"/>
              <w:rPr>
                <w:b/>
                <w:bCs/>
                <w:color w:val="000000"/>
              </w:rPr>
            </w:pPr>
          </w:p>
        </w:tc>
        <w:tc>
          <w:tcPr>
            <w:tcW w:w="1355" w:type="dxa"/>
            <w:vAlign w:val="center"/>
          </w:tcPr>
          <w:p>
            <w:pPr>
              <w:jc w:val="center"/>
              <w:rPr>
                <w:b/>
                <w:bCs/>
                <w:color w:val="000000"/>
              </w:rPr>
            </w:pPr>
          </w:p>
        </w:tc>
        <w:tc>
          <w:tcPr>
            <w:tcW w:w="798" w:type="dxa"/>
            <w:vAlign w:val="center"/>
          </w:tcPr>
          <w:p>
            <w:pPr>
              <w:jc w:val="center"/>
              <w:rPr>
                <w:b/>
                <w:bCs/>
                <w:color w:val="000000"/>
              </w:rPr>
            </w:pPr>
          </w:p>
        </w:tc>
        <w:tc>
          <w:tcPr>
            <w:tcW w:w="1417" w:type="dxa"/>
            <w:vAlign w:val="center"/>
          </w:tcPr>
          <w:p>
            <w:pPr>
              <w:jc w:val="center"/>
              <w:rPr>
                <w:b/>
                <w:bCs/>
                <w:color w:val="000000"/>
              </w:rPr>
            </w:pPr>
          </w:p>
        </w:tc>
        <w:tc>
          <w:tcPr>
            <w:tcW w:w="1850" w:type="dxa"/>
            <w:vAlign w:val="center"/>
          </w:tcPr>
          <w:p>
            <w:pPr>
              <w:jc w:val="center"/>
              <w:rPr>
                <w:b/>
                <w:bCs/>
                <w:color w:val="000000"/>
              </w:rPr>
            </w:pPr>
          </w:p>
        </w:tc>
        <w:tc>
          <w:tcPr>
            <w:tcW w:w="1355" w:type="dxa"/>
            <w:vAlign w:val="center"/>
          </w:tcPr>
          <w:p>
            <w:pPr>
              <w:jc w:val="center"/>
              <w:rPr>
                <w:b/>
                <w:bCs/>
                <w:color w:val="000000"/>
              </w:rPr>
            </w:pPr>
          </w:p>
        </w:tc>
        <w:tc>
          <w:tcPr>
            <w:tcW w:w="1615" w:type="dxa"/>
            <w:vAlign w:val="center"/>
          </w:tcPr>
          <w:p>
            <w:pPr>
              <w:jc w:val="center"/>
              <w:rPr>
                <w:b/>
                <w:bCs/>
                <w:color w:val="000000"/>
              </w:rPr>
            </w:pPr>
          </w:p>
        </w:tc>
        <w:tc>
          <w:tcPr>
            <w:tcW w:w="2442" w:type="dxa"/>
            <w:vAlign w:val="center"/>
          </w:tcPr>
          <w:p>
            <w:pPr>
              <w:jc w:val="center"/>
              <w:rPr>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376" w:type="dxa"/>
            <w:vAlign w:val="center"/>
          </w:tcPr>
          <w:p>
            <w:pPr>
              <w:jc w:val="center"/>
              <w:rPr>
                <w:b/>
                <w:bCs/>
                <w:color w:val="000000"/>
              </w:rPr>
            </w:pPr>
          </w:p>
        </w:tc>
        <w:tc>
          <w:tcPr>
            <w:tcW w:w="966" w:type="dxa"/>
            <w:vAlign w:val="center"/>
          </w:tcPr>
          <w:p>
            <w:pPr>
              <w:jc w:val="center"/>
              <w:rPr>
                <w:b/>
                <w:bCs/>
                <w:color w:val="000000"/>
              </w:rPr>
            </w:pPr>
          </w:p>
        </w:tc>
        <w:tc>
          <w:tcPr>
            <w:tcW w:w="1355" w:type="dxa"/>
            <w:vAlign w:val="center"/>
          </w:tcPr>
          <w:p>
            <w:pPr>
              <w:jc w:val="center"/>
              <w:rPr>
                <w:b/>
                <w:bCs/>
                <w:color w:val="000000"/>
              </w:rPr>
            </w:pPr>
          </w:p>
        </w:tc>
        <w:tc>
          <w:tcPr>
            <w:tcW w:w="798" w:type="dxa"/>
            <w:vAlign w:val="center"/>
          </w:tcPr>
          <w:p>
            <w:pPr>
              <w:jc w:val="center"/>
              <w:rPr>
                <w:b/>
                <w:bCs/>
                <w:color w:val="000000"/>
              </w:rPr>
            </w:pPr>
          </w:p>
        </w:tc>
        <w:tc>
          <w:tcPr>
            <w:tcW w:w="1417" w:type="dxa"/>
            <w:vAlign w:val="center"/>
          </w:tcPr>
          <w:p>
            <w:pPr>
              <w:jc w:val="center"/>
              <w:rPr>
                <w:b/>
                <w:bCs/>
                <w:color w:val="000000"/>
              </w:rPr>
            </w:pPr>
          </w:p>
        </w:tc>
        <w:tc>
          <w:tcPr>
            <w:tcW w:w="1850" w:type="dxa"/>
            <w:vAlign w:val="center"/>
          </w:tcPr>
          <w:p>
            <w:pPr>
              <w:jc w:val="center"/>
              <w:rPr>
                <w:b/>
                <w:bCs/>
                <w:color w:val="000000"/>
              </w:rPr>
            </w:pPr>
          </w:p>
        </w:tc>
        <w:tc>
          <w:tcPr>
            <w:tcW w:w="1355" w:type="dxa"/>
            <w:vAlign w:val="center"/>
          </w:tcPr>
          <w:p>
            <w:pPr>
              <w:jc w:val="center"/>
              <w:rPr>
                <w:b/>
                <w:bCs/>
                <w:color w:val="000000"/>
              </w:rPr>
            </w:pPr>
          </w:p>
        </w:tc>
        <w:tc>
          <w:tcPr>
            <w:tcW w:w="1615" w:type="dxa"/>
            <w:vAlign w:val="center"/>
          </w:tcPr>
          <w:p>
            <w:pPr>
              <w:jc w:val="center"/>
              <w:rPr>
                <w:b/>
                <w:bCs/>
                <w:color w:val="000000"/>
              </w:rPr>
            </w:pPr>
          </w:p>
        </w:tc>
        <w:tc>
          <w:tcPr>
            <w:tcW w:w="2442" w:type="dxa"/>
            <w:vAlign w:val="center"/>
          </w:tcPr>
          <w:p>
            <w:pPr>
              <w:jc w:val="center"/>
              <w:rPr>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2376" w:type="dxa"/>
            <w:vAlign w:val="center"/>
          </w:tcPr>
          <w:p>
            <w:pPr>
              <w:jc w:val="center"/>
              <w:rPr>
                <w:b/>
                <w:bCs/>
                <w:color w:val="000000"/>
              </w:rPr>
            </w:pPr>
          </w:p>
        </w:tc>
        <w:tc>
          <w:tcPr>
            <w:tcW w:w="966" w:type="dxa"/>
            <w:vAlign w:val="center"/>
          </w:tcPr>
          <w:p>
            <w:pPr>
              <w:jc w:val="center"/>
              <w:rPr>
                <w:b/>
                <w:bCs/>
                <w:color w:val="000000"/>
              </w:rPr>
            </w:pPr>
          </w:p>
        </w:tc>
        <w:tc>
          <w:tcPr>
            <w:tcW w:w="1355" w:type="dxa"/>
            <w:vAlign w:val="center"/>
          </w:tcPr>
          <w:p>
            <w:pPr>
              <w:jc w:val="center"/>
              <w:rPr>
                <w:b/>
                <w:bCs/>
                <w:color w:val="000000"/>
              </w:rPr>
            </w:pPr>
          </w:p>
        </w:tc>
        <w:tc>
          <w:tcPr>
            <w:tcW w:w="798" w:type="dxa"/>
            <w:vAlign w:val="center"/>
          </w:tcPr>
          <w:p>
            <w:pPr>
              <w:jc w:val="center"/>
              <w:rPr>
                <w:b/>
                <w:bCs/>
                <w:color w:val="000000"/>
              </w:rPr>
            </w:pPr>
          </w:p>
        </w:tc>
        <w:tc>
          <w:tcPr>
            <w:tcW w:w="1417" w:type="dxa"/>
            <w:vAlign w:val="center"/>
          </w:tcPr>
          <w:p>
            <w:pPr>
              <w:jc w:val="center"/>
              <w:rPr>
                <w:b/>
                <w:bCs/>
                <w:color w:val="000000"/>
              </w:rPr>
            </w:pPr>
          </w:p>
        </w:tc>
        <w:tc>
          <w:tcPr>
            <w:tcW w:w="1850" w:type="dxa"/>
            <w:vAlign w:val="center"/>
          </w:tcPr>
          <w:p>
            <w:pPr>
              <w:jc w:val="center"/>
              <w:rPr>
                <w:b/>
                <w:bCs/>
                <w:color w:val="000000"/>
              </w:rPr>
            </w:pPr>
          </w:p>
        </w:tc>
        <w:tc>
          <w:tcPr>
            <w:tcW w:w="1355" w:type="dxa"/>
            <w:vAlign w:val="center"/>
          </w:tcPr>
          <w:p>
            <w:pPr>
              <w:jc w:val="center"/>
              <w:rPr>
                <w:b/>
                <w:bCs/>
                <w:color w:val="000000"/>
              </w:rPr>
            </w:pPr>
          </w:p>
        </w:tc>
        <w:tc>
          <w:tcPr>
            <w:tcW w:w="1615" w:type="dxa"/>
            <w:vAlign w:val="center"/>
          </w:tcPr>
          <w:p>
            <w:pPr>
              <w:jc w:val="center"/>
              <w:rPr>
                <w:b/>
                <w:bCs/>
                <w:color w:val="000000"/>
              </w:rPr>
            </w:pPr>
          </w:p>
        </w:tc>
        <w:tc>
          <w:tcPr>
            <w:tcW w:w="2442" w:type="dxa"/>
            <w:vAlign w:val="center"/>
          </w:tcPr>
          <w:p>
            <w:pPr>
              <w:jc w:val="center"/>
              <w:rPr>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376" w:type="dxa"/>
            <w:vAlign w:val="center"/>
          </w:tcPr>
          <w:p>
            <w:pPr>
              <w:jc w:val="center"/>
              <w:rPr>
                <w:b/>
                <w:bCs/>
                <w:color w:val="000000"/>
              </w:rPr>
            </w:pPr>
          </w:p>
        </w:tc>
        <w:tc>
          <w:tcPr>
            <w:tcW w:w="966" w:type="dxa"/>
            <w:vAlign w:val="center"/>
          </w:tcPr>
          <w:p>
            <w:pPr>
              <w:jc w:val="center"/>
              <w:rPr>
                <w:b/>
                <w:bCs/>
                <w:color w:val="000000"/>
              </w:rPr>
            </w:pPr>
          </w:p>
        </w:tc>
        <w:tc>
          <w:tcPr>
            <w:tcW w:w="1355" w:type="dxa"/>
            <w:vAlign w:val="center"/>
          </w:tcPr>
          <w:p>
            <w:pPr>
              <w:jc w:val="center"/>
              <w:rPr>
                <w:b/>
                <w:bCs/>
                <w:color w:val="000000"/>
              </w:rPr>
            </w:pPr>
          </w:p>
        </w:tc>
        <w:tc>
          <w:tcPr>
            <w:tcW w:w="798" w:type="dxa"/>
            <w:vAlign w:val="center"/>
          </w:tcPr>
          <w:p>
            <w:pPr>
              <w:jc w:val="center"/>
              <w:rPr>
                <w:b/>
                <w:bCs/>
                <w:color w:val="000000"/>
              </w:rPr>
            </w:pPr>
          </w:p>
        </w:tc>
        <w:tc>
          <w:tcPr>
            <w:tcW w:w="1417" w:type="dxa"/>
            <w:vAlign w:val="center"/>
          </w:tcPr>
          <w:p>
            <w:pPr>
              <w:jc w:val="center"/>
              <w:rPr>
                <w:b/>
                <w:bCs/>
                <w:color w:val="000000"/>
              </w:rPr>
            </w:pPr>
          </w:p>
        </w:tc>
        <w:tc>
          <w:tcPr>
            <w:tcW w:w="1850" w:type="dxa"/>
            <w:vAlign w:val="center"/>
          </w:tcPr>
          <w:p>
            <w:pPr>
              <w:jc w:val="center"/>
              <w:rPr>
                <w:b/>
                <w:bCs/>
                <w:color w:val="000000"/>
              </w:rPr>
            </w:pPr>
          </w:p>
        </w:tc>
        <w:tc>
          <w:tcPr>
            <w:tcW w:w="1355" w:type="dxa"/>
            <w:vAlign w:val="center"/>
          </w:tcPr>
          <w:p>
            <w:pPr>
              <w:jc w:val="center"/>
              <w:rPr>
                <w:b/>
                <w:bCs/>
                <w:color w:val="000000"/>
              </w:rPr>
            </w:pPr>
          </w:p>
        </w:tc>
        <w:tc>
          <w:tcPr>
            <w:tcW w:w="1615" w:type="dxa"/>
            <w:vAlign w:val="center"/>
          </w:tcPr>
          <w:p>
            <w:pPr>
              <w:jc w:val="center"/>
              <w:rPr>
                <w:b/>
                <w:bCs/>
                <w:color w:val="000000"/>
              </w:rPr>
            </w:pPr>
          </w:p>
        </w:tc>
        <w:tc>
          <w:tcPr>
            <w:tcW w:w="2442" w:type="dxa"/>
            <w:vAlign w:val="center"/>
          </w:tcPr>
          <w:p>
            <w:pPr>
              <w:jc w:val="center"/>
              <w:rPr>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376" w:type="dxa"/>
            <w:vAlign w:val="center"/>
          </w:tcPr>
          <w:p>
            <w:pPr>
              <w:jc w:val="center"/>
              <w:rPr>
                <w:b/>
                <w:bCs/>
                <w:color w:val="000000"/>
              </w:rPr>
            </w:pPr>
          </w:p>
        </w:tc>
        <w:tc>
          <w:tcPr>
            <w:tcW w:w="966" w:type="dxa"/>
            <w:vAlign w:val="center"/>
          </w:tcPr>
          <w:p>
            <w:pPr>
              <w:jc w:val="center"/>
              <w:rPr>
                <w:b/>
                <w:bCs/>
                <w:color w:val="000000"/>
              </w:rPr>
            </w:pPr>
          </w:p>
        </w:tc>
        <w:tc>
          <w:tcPr>
            <w:tcW w:w="1355" w:type="dxa"/>
            <w:vAlign w:val="center"/>
          </w:tcPr>
          <w:p>
            <w:pPr>
              <w:jc w:val="center"/>
              <w:rPr>
                <w:b/>
                <w:bCs/>
                <w:color w:val="000000"/>
              </w:rPr>
            </w:pPr>
          </w:p>
        </w:tc>
        <w:tc>
          <w:tcPr>
            <w:tcW w:w="798" w:type="dxa"/>
            <w:vAlign w:val="center"/>
          </w:tcPr>
          <w:p>
            <w:pPr>
              <w:jc w:val="center"/>
              <w:rPr>
                <w:b/>
                <w:bCs/>
                <w:color w:val="000000"/>
              </w:rPr>
            </w:pPr>
          </w:p>
        </w:tc>
        <w:tc>
          <w:tcPr>
            <w:tcW w:w="1417" w:type="dxa"/>
            <w:vAlign w:val="center"/>
          </w:tcPr>
          <w:p>
            <w:pPr>
              <w:jc w:val="center"/>
              <w:rPr>
                <w:b/>
                <w:bCs/>
                <w:color w:val="000000"/>
              </w:rPr>
            </w:pPr>
          </w:p>
        </w:tc>
        <w:tc>
          <w:tcPr>
            <w:tcW w:w="1850" w:type="dxa"/>
            <w:vAlign w:val="center"/>
          </w:tcPr>
          <w:p>
            <w:pPr>
              <w:jc w:val="center"/>
              <w:rPr>
                <w:b/>
                <w:bCs/>
                <w:color w:val="000000"/>
              </w:rPr>
            </w:pPr>
          </w:p>
        </w:tc>
        <w:tc>
          <w:tcPr>
            <w:tcW w:w="1355" w:type="dxa"/>
            <w:vAlign w:val="center"/>
          </w:tcPr>
          <w:p>
            <w:pPr>
              <w:jc w:val="center"/>
              <w:rPr>
                <w:b/>
                <w:bCs/>
                <w:color w:val="000000"/>
              </w:rPr>
            </w:pPr>
          </w:p>
        </w:tc>
        <w:tc>
          <w:tcPr>
            <w:tcW w:w="1615" w:type="dxa"/>
            <w:vAlign w:val="center"/>
          </w:tcPr>
          <w:p>
            <w:pPr>
              <w:jc w:val="center"/>
              <w:rPr>
                <w:b/>
                <w:bCs/>
                <w:color w:val="000000"/>
              </w:rPr>
            </w:pPr>
          </w:p>
        </w:tc>
        <w:tc>
          <w:tcPr>
            <w:tcW w:w="2442" w:type="dxa"/>
            <w:vAlign w:val="center"/>
          </w:tcPr>
          <w:p>
            <w:pPr>
              <w:jc w:val="center"/>
              <w:rPr>
                <w:b/>
                <w:bCs/>
                <w:color w:val="000000"/>
              </w:rPr>
            </w:pPr>
          </w:p>
        </w:tc>
      </w:tr>
    </w:tbl>
    <w:p>
      <w:pPr>
        <w:rPr>
          <w:color w:val="000000"/>
          <w:kern w:val="0"/>
        </w:rPr>
      </w:pPr>
      <w:r>
        <w:rPr>
          <w:color w:val="000000"/>
          <w:kern w:val="0"/>
        </w:rPr>
        <w:t>注：1.常规废弃物排放浓度，对于液态单位为mg/L，气态单位为mg/kg；年排放总量用kg。</w:t>
      </w:r>
    </w:p>
    <w:p>
      <w:pPr>
        <w:tabs>
          <w:tab w:val="left" w:pos="2520"/>
        </w:tabs>
        <w:ind w:left="-10" w:leftChars="-4" w:firstLine="456" w:firstLineChars="190"/>
        <w:rPr>
          <w:color w:val="000000"/>
          <w:kern w:val="0"/>
        </w:rPr>
      </w:pPr>
      <w:r>
        <w:rPr>
          <w:color w:val="000000"/>
          <w:kern w:val="0"/>
        </w:rPr>
        <w:t>2.含有放射性的废弃物要注明，其排放浓度年排放总量分别用比活度（Bq/L，或Bq/kg，或Bq/m</w:t>
      </w:r>
      <w:r>
        <w:rPr>
          <w:color w:val="000000"/>
          <w:kern w:val="0"/>
          <w:vertAlign w:val="superscript"/>
        </w:rPr>
        <w:t>3</w:t>
      </w:r>
      <w:r>
        <w:rPr>
          <w:color w:val="000000"/>
          <w:kern w:val="0"/>
        </w:rPr>
        <w:t>）和活度（Bq）。</w:t>
      </w:r>
    </w:p>
    <w:p>
      <w:pPr>
        <w:tabs>
          <w:tab w:val="left" w:pos="2520"/>
        </w:tabs>
        <w:spacing w:line="360" w:lineRule="auto"/>
        <w:rPr>
          <w:color w:val="000000"/>
          <w:kern w:val="0"/>
        </w:rPr>
        <w:sectPr>
          <w:pgSz w:w="16838" w:h="11906" w:orient="landscape"/>
          <w:pgMar w:top="1440" w:right="1440" w:bottom="1440" w:left="1440" w:header="851" w:footer="992" w:gutter="0"/>
          <w:pgBorders>
            <w:top w:val="none" w:sz="0" w:space="0"/>
            <w:left w:val="none" w:sz="0" w:space="0"/>
            <w:bottom w:val="none" w:sz="0" w:space="0"/>
            <w:right w:val="none" w:sz="0" w:space="0"/>
          </w:pgBorders>
          <w:pgNumType w:fmt="numberInDash"/>
          <w:cols w:space="720" w:num="1"/>
          <w:docGrid w:type="lines" w:linePitch="334" w:charSpace="0"/>
        </w:sectPr>
      </w:pPr>
    </w:p>
    <w:p>
      <w:pPr>
        <w:pStyle w:val="3"/>
        <w:rPr>
          <w:color w:val="000000"/>
          <w:sz w:val="28"/>
          <w:szCs w:val="28"/>
        </w:rPr>
      </w:pPr>
      <w:bookmarkStart w:id="13" w:name="_Toc495092669"/>
      <w:bookmarkStart w:id="14" w:name="_Toc9273"/>
      <w:bookmarkStart w:id="15" w:name="_Toc501805938"/>
      <w:r>
        <w:rPr>
          <w:color w:val="000000"/>
          <w:sz w:val="28"/>
          <w:szCs w:val="28"/>
        </w:rPr>
        <w:t>表6 评价依据</w:t>
      </w:r>
      <w:bookmarkEnd w:id="13"/>
      <w:bookmarkEnd w:id="14"/>
      <w:bookmarkEnd w:id="15"/>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7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772" w:type="dxa"/>
            <w:vAlign w:val="center"/>
          </w:tcPr>
          <w:p>
            <w:pPr>
              <w:snapToGrid w:val="0"/>
              <w:spacing w:line="360" w:lineRule="auto"/>
              <w:jc w:val="center"/>
              <w:rPr>
                <w:b/>
                <w:color w:val="000000"/>
              </w:rPr>
            </w:pPr>
            <w:r>
              <w:rPr>
                <w:b/>
                <w:color w:val="000000"/>
              </w:rPr>
              <w:t>法规</w:t>
            </w:r>
          </w:p>
          <w:p>
            <w:pPr>
              <w:snapToGrid w:val="0"/>
              <w:spacing w:line="360" w:lineRule="auto"/>
              <w:jc w:val="center"/>
              <w:rPr>
                <w:b/>
                <w:color w:val="000000"/>
              </w:rPr>
            </w:pPr>
            <w:r>
              <w:rPr>
                <w:b/>
                <w:color w:val="000000"/>
              </w:rPr>
              <w:t>文件</w:t>
            </w:r>
          </w:p>
        </w:tc>
        <w:tc>
          <w:tcPr>
            <w:tcW w:w="7697" w:type="dxa"/>
          </w:tcPr>
          <w:p>
            <w:pPr>
              <w:adjustRightInd w:val="0"/>
              <w:spacing w:line="360" w:lineRule="auto"/>
              <w:ind w:firstLine="120" w:firstLineChars="50"/>
            </w:pPr>
            <w:r>
              <w:rPr>
                <w:rFonts w:hint="eastAsia"/>
              </w:rPr>
              <w:t>（1）《中华人民共和国环境保护法》（第十二届全国人民代表大会常务委员会第八次会议修订通过，2015年1月1日施行）；</w:t>
            </w:r>
          </w:p>
          <w:p>
            <w:pPr>
              <w:adjustRightInd w:val="0"/>
              <w:spacing w:line="360" w:lineRule="auto"/>
              <w:ind w:firstLine="120" w:firstLineChars="50"/>
            </w:pPr>
            <w:r>
              <w:rPr>
                <w:rFonts w:hint="eastAsia"/>
              </w:rPr>
              <w:t>（2）《中华人民共和国环境影响评价法》（第十三届全国人民代表大会常务委员会第七次会议《关于修改〈中华人民共和国劳动法〉等七部法律的决定》第二次修正，2018年12月29日施行）；</w:t>
            </w:r>
          </w:p>
          <w:p>
            <w:pPr>
              <w:adjustRightInd w:val="0"/>
              <w:spacing w:line="360" w:lineRule="auto"/>
              <w:ind w:firstLine="120" w:firstLineChars="50"/>
            </w:pPr>
            <w:r>
              <w:rPr>
                <w:rFonts w:hint="eastAsia"/>
              </w:rPr>
              <w:t>（3）《中华人民共和国放射性污染防治法》（第十届全国人民代表大会常务委员会第三次会议通过，2003年10月1日施行）；</w:t>
            </w:r>
          </w:p>
          <w:p>
            <w:pPr>
              <w:adjustRightInd w:val="0"/>
              <w:spacing w:line="360" w:lineRule="auto"/>
              <w:ind w:firstLine="120" w:firstLineChars="50"/>
            </w:pPr>
            <w:r>
              <w:rPr>
                <w:rFonts w:hint="eastAsia"/>
              </w:rPr>
              <w:t>（4）《建设项目环境保护管理条例》（国务院第682号令《国务院关于修改〈建设项目环境保护管理条例〉的决定》修订，2017年10月1日施行）；</w:t>
            </w:r>
          </w:p>
          <w:p>
            <w:pPr>
              <w:adjustRightInd w:val="0"/>
              <w:spacing w:line="360" w:lineRule="auto"/>
              <w:ind w:firstLine="120" w:firstLineChars="50"/>
            </w:pPr>
            <w:r>
              <w:rPr>
                <w:rFonts w:hint="eastAsia"/>
              </w:rPr>
              <w:t xml:space="preserve">（5）《放射性同位素与射线装置安全和防护条例》（国务院令第449号公布，2005年12月1日施行；国务院令第653号《国务院关于修改部分行政法规的决定》第一次修订，2014年7月29日施行；国务院令第709号《国务院关于修改部分行政法规的决定》第二次修订，2019年3月2日施行）； </w:t>
            </w:r>
          </w:p>
          <w:p>
            <w:pPr>
              <w:adjustRightInd w:val="0"/>
              <w:spacing w:line="360" w:lineRule="auto"/>
              <w:ind w:firstLine="120" w:firstLineChars="50"/>
            </w:pPr>
            <w:r>
              <w:rPr>
                <w:rFonts w:hint="eastAsia"/>
              </w:rPr>
              <w:t>（6）《放射性同位素与射线装置安全许可管理办法》（生态环境部令第20号第四次修订，2021年1月4日）；</w:t>
            </w:r>
          </w:p>
          <w:p>
            <w:pPr>
              <w:adjustRightInd w:val="0"/>
              <w:spacing w:line="360" w:lineRule="auto"/>
              <w:ind w:firstLine="120" w:firstLineChars="50"/>
            </w:pPr>
            <w:r>
              <w:rPr>
                <w:rFonts w:hint="eastAsia"/>
              </w:rPr>
              <w:t>（7）《射线装置分类》（环境保护部、国家卫生和计划生育委员会公告2017年第66号，2017年12月6日）；</w:t>
            </w:r>
          </w:p>
          <w:p>
            <w:pPr>
              <w:adjustRightInd w:val="0"/>
              <w:spacing w:line="360" w:lineRule="auto"/>
              <w:ind w:firstLine="120" w:firstLineChars="50"/>
            </w:pPr>
            <w:r>
              <w:rPr>
                <w:rFonts w:hint="eastAsia"/>
              </w:rPr>
              <w:t>（8）《建设项目环境影响评价分类管理名录（2021年版）》（生态环境部令第16号，2021年1月1日实施）；</w:t>
            </w:r>
          </w:p>
          <w:p>
            <w:pPr>
              <w:adjustRightInd w:val="0"/>
              <w:spacing w:line="360" w:lineRule="auto"/>
              <w:ind w:firstLine="120" w:firstLineChars="50"/>
            </w:pPr>
            <w:r>
              <w:rPr>
                <w:rFonts w:hint="eastAsia"/>
              </w:rPr>
              <w:t>（9）《关于建立放射性同位素与射线装置辐射事故分级处理和报告制度的通知》（环发〔2006〕145号，2006年9月26日实施）；</w:t>
            </w:r>
          </w:p>
          <w:p>
            <w:pPr>
              <w:adjustRightInd w:val="0"/>
              <w:spacing w:line="360" w:lineRule="auto"/>
              <w:ind w:firstLine="120" w:firstLineChars="50"/>
            </w:pPr>
            <w:r>
              <w:rPr>
                <w:rFonts w:hint="eastAsia"/>
              </w:rPr>
              <w:t>（10）《放射性同位素与射线装置安全与防护管理办法》（国家环境保护部18号令，2011年5月1日实施）；</w:t>
            </w:r>
          </w:p>
          <w:p>
            <w:pPr>
              <w:adjustRightInd w:val="0"/>
              <w:spacing w:line="360" w:lineRule="auto"/>
              <w:ind w:firstLine="120" w:firstLineChars="50"/>
            </w:pPr>
            <w:r>
              <w:rPr>
                <w:rFonts w:hint="eastAsia"/>
              </w:rPr>
              <w:t>（11）《产业结构调整指导目录（2019年本）》（2021年修改）（中华人民共和国发展和改革委员会第49号，2021年12月30日实施）；</w:t>
            </w:r>
          </w:p>
          <w:p>
            <w:pPr>
              <w:adjustRightInd w:val="0"/>
              <w:spacing w:line="360" w:lineRule="auto"/>
              <w:ind w:firstLine="120" w:firstLineChars="50"/>
            </w:pPr>
            <w:r>
              <w:rPr>
                <w:rFonts w:hint="eastAsia"/>
              </w:rPr>
              <w:t>（12）《关于核技术利用辐射安全与防护培训和考核有关事项的公告》（生态环境部 2019年第57号公告，2020年1月1日实施）；</w:t>
            </w:r>
          </w:p>
          <w:p>
            <w:pPr>
              <w:adjustRightInd w:val="0"/>
              <w:spacing w:line="360" w:lineRule="auto"/>
              <w:ind w:firstLine="120" w:firstLineChars="50"/>
            </w:pPr>
            <w:r>
              <w:rPr>
                <w:rFonts w:hint="eastAsia"/>
              </w:rPr>
              <w:t>（13）《关于进一步优化辐射安全考核的公告》（生态环境部2021年第9号公告，2021年3月15日实施）；</w:t>
            </w:r>
          </w:p>
          <w:p>
            <w:pPr>
              <w:adjustRightInd w:val="0"/>
              <w:spacing w:line="360" w:lineRule="auto"/>
              <w:ind w:firstLine="120" w:firstLineChars="50"/>
            </w:pPr>
            <w:r>
              <w:rPr>
                <w:rFonts w:hint="eastAsia"/>
              </w:rPr>
              <w:t>（14）《放射工作人员职业健康管理办法》（中华人民共和国卫生部令第55号，2007年11月1日施行）；</w:t>
            </w:r>
          </w:p>
          <w:p>
            <w:pPr>
              <w:adjustRightInd w:val="0"/>
              <w:spacing w:line="360" w:lineRule="auto"/>
              <w:ind w:firstLine="120" w:firstLineChars="50"/>
            </w:pPr>
            <w:r>
              <w:rPr>
                <w:rFonts w:hint="eastAsia"/>
              </w:rPr>
              <w:t>（15）《陕西省放射性污染防治条例》（陕西省第十三届人民代表大会常务委员会第十二次会议《关于修改〈陕西省产品质量监督管理条例〉等二十七部地方性法规的决定》第二次修正，2019年7月31日起施行）；</w:t>
            </w:r>
          </w:p>
          <w:p>
            <w:pPr>
              <w:adjustRightInd w:val="0"/>
              <w:spacing w:line="360" w:lineRule="auto"/>
              <w:ind w:firstLine="120" w:firstLineChars="50"/>
            </w:pPr>
            <w:r>
              <w:rPr>
                <w:rFonts w:hint="eastAsia"/>
              </w:rPr>
              <w:t>（16）《陕西省核技术利用单位辐射安全管理标准化建设项目表》（陕环办发﹝2018﹞29号，2018年6月6日起施行）。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dxa"/>
            <w:vAlign w:val="center"/>
          </w:tcPr>
          <w:p>
            <w:pPr>
              <w:snapToGrid w:val="0"/>
              <w:spacing w:line="360" w:lineRule="auto"/>
              <w:jc w:val="center"/>
              <w:rPr>
                <w:b/>
                <w:color w:val="000000"/>
              </w:rPr>
            </w:pPr>
          </w:p>
          <w:p>
            <w:pPr>
              <w:snapToGrid w:val="0"/>
              <w:spacing w:line="360" w:lineRule="auto"/>
              <w:jc w:val="center"/>
              <w:rPr>
                <w:b/>
                <w:color w:val="000000"/>
              </w:rPr>
            </w:pPr>
          </w:p>
          <w:p>
            <w:pPr>
              <w:snapToGrid w:val="0"/>
              <w:spacing w:line="360" w:lineRule="auto"/>
              <w:jc w:val="center"/>
              <w:rPr>
                <w:b/>
                <w:color w:val="000000"/>
              </w:rPr>
            </w:pPr>
          </w:p>
          <w:p>
            <w:pPr>
              <w:snapToGrid w:val="0"/>
              <w:spacing w:line="360" w:lineRule="auto"/>
              <w:jc w:val="center"/>
              <w:rPr>
                <w:b/>
                <w:color w:val="000000"/>
              </w:rPr>
            </w:pPr>
            <w:r>
              <w:rPr>
                <w:b/>
                <w:color w:val="000000"/>
              </w:rPr>
              <w:t>技术</w:t>
            </w:r>
          </w:p>
          <w:p>
            <w:pPr>
              <w:snapToGrid w:val="0"/>
              <w:spacing w:line="360" w:lineRule="auto"/>
              <w:jc w:val="center"/>
              <w:rPr>
                <w:b/>
                <w:color w:val="000000"/>
              </w:rPr>
            </w:pPr>
            <w:r>
              <w:rPr>
                <w:b/>
                <w:color w:val="000000"/>
              </w:rPr>
              <w:t>标准</w:t>
            </w:r>
          </w:p>
        </w:tc>
        <w:tc>
          <w:tcPr>
            <w:tcW w:w="7697" w:type="dxa"/>
            <w:vAlign w:val="center"/>
          </w:tcPr>
          <w:p>
            <w:pPr>
              <w:adjustRightInd w:val="0"/>
              <w:spacing w:line="360" w:lineRule="auto"/>
              <w:ind w:firstLine="120" w:firstLineChars="50"/>
            </w:pPr>
            <w:r>
              <w:rPr>
                <w:rFonts w:hint="eastAsia"/>
              </w:rPr>
              <w:t>（1）《建设项目环境影响评价技术导则 总纲》（HJ2.1-2016）；</w:t>
            </w:r>
          </w:p>
          <w:p>
            <w:pPr>
              <w:adjustRightInd w:val="0"/>
              <w:spacing w:line="360" w:lineRule="auto"/>
              <w:ind w:firstLine="120" w:firstLineChars="50"/>
            </w:pPr>
            <w:r>
              <w:rPr>
                <w:rFonts w:hint="eastAsia"/>
              </w:rPr>
              <w:t>（2）《辐射环境保护管理导则 核技术利用建设项目环境影响评价文件的内容和格式》（HJ 10.1-2016）；</w:t>
            </w:r>
          </w:p>
          <w:p>
            <w:pPr>
              <w:adjustRightInd w:val="0"/>
              <w:spacing w:line="360" w:lineRule="auto"/>
              <w:ind w:firstLine="120" w:firstLineChars="50"/>
            </w:pPr>
            <w:r>
              <w:rPr>
                <w:rFonts w:hint="eastAsia"/>
              </w:rPr>
              <w:t>（3）《电离辐射防护与辐射源安全基本标准》（GB18871-2002）；</w:t>
            </w:r>
          </w:p>
          <w:p>
            <w:pPr>
              <w:adjustRightInd w:val="0"/>
              <w:spacing w:line="360" w:lineRule="auto"/>
              <w:ind w:firstLine="120" w:firstLineChars="50"/>
            </w:pPr>
            <w:r>
              <w:rPr>
                <w:rFonts w:hint="eastAsia"/>
              </w:rPr>
              <w:t>（4）《放射诊断放射防护要求》（GBZ130-2020）；</w:t>
            </w:r>
          </w:p>
          <w:p>
            <w:pPr>
              <w:adjustRightInd w:val="0"/>
              <w:spacing w:line="360" w:lineRule="auto"/>
              <w:ind w:firstLine="120" w:firstLineChars="50"/>
            </w:pPr>
            <w:r>
              <w:rPr>
                <w:rFonts w:hint="eastAsia"/>
              </w:rPr>
              <w:t>（5）《辐射环境监测技术规范》（HJ61-2021）；</w:t>
            </w:r>
          </w:p>
          <w:p>
            <w:pPr>
              <w:adjustRightInd w:val="0"/>
              <w:spacing w:line="360" w:lineRule="auto"/>
              <w:ind w:firstLine="120" w:firstLineChars="50"/>
            </w:pPr>
            <w:r>
              <w:rPr>
                <w:rFonts w:hint="eastAsia"/>
              </w:rPr>
              <w:t>（6）《环境γ辐射剂量率测量技术规范》（HJ1157-2021）；</w:t>
            </w:r>
          </w:p>
          <w:p>
            <w:pPr>
              <w:adjustRightInd w:val="0"/>
              <w:spacing w:line="360" w:lineRule="auto"/>
              <w:ind w:firstLine="120" w:firstLineChars="50"/>
            </w:pPr>
            <w:r>
              <w:rPr>
                <w:rFonts w:hint="eastAsia"/>
              </w:rPr>
              <w:t>（7）《职业性外照射个人检测规范》（GBZ128-2019）；</w:t>
            </w:r>
          </w:p>
          <w:p>
            <w:pPr>
              <w:spacing w:line="360" w:lineRule="auto"/>
              <w:ind w:firstLine="120" w:firstLineChars="50"/>
              <w:rPr>
                <w:rFonts w:eastAsiaTheme="minorEastAsia"/>
              </w:rPr>
            </w:pPr>
            <w:r>
              <w:rPr>
                <w:rFonts w:hint="eastAsia"/>
              </w:rPr>
              <w:t>（8）《医用X射线诊断设备质量控制检测规范》（WS76-2020）。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dxa"/>
            <w:vAlign w:val="center"/>
          </w:tcPr>
          <w:p>
            <w:pPr>
              <w:snapToGrid w:val="0"/>
              <w:spacing w:line="360" w:lineRule="auto"/>
              <w:jc w:val="center"/>
              <w:rPr>
                <w:b/>
                <w:color w:val="000000"/>
              </w:rPr>
            </w:pPr>
            <w:r>
              <w:rPr>
                <w:rFonts w:hint="eastAsia"/>
                <w:b/>
                <w:color w:val="000000"/>
              </w:rPr>
              <w:t>其他</w:t>
            </w:r>
          </w:p>
        </w:tc>
        <w:tc>
          <w:tcPr>
            <w:tcW w:w="7697" w:type="dxa"/>
            <w:vAlign w:val="center"/>
          </w:tcPr>
          <w:p>
            <w:pPr>
              <w:spacing w:line="480" w:lineRule="exact"/>
              <w:ind w:right="-3" w:firstLine="120" w:firstLineChars="50"/>
            </w:pPr>
            <w:r>
              <w:t>（1）环境影响评价委托书；</w:t>
            </w:r>
          </w:p>
          <w:p>
            <w:pPr>
              <w:spacing w:line="480" w:lineRule="exact"/>
              <w:ind w:firstLine="120" w:firstLineChars="50"/>
            </w:pPr>
            <w:r>
              <w:t>（2）建设单位提供的其他相关资料。</w:t>
            </w:r>
          </w:p>
          <w:p>
            <w:pPr>
              <w:spacing w:line="360" w:lineRule="auto"/>
            </w:pPr>
          </w:p>
          <w:p>
            <w:pPr>
              <w:pStyle w:val="2"/>
              <w:ind w:firstLine="480"/>
              <w:rPr>
                <w:rFonts w:eastAsiaTheme="minorEastAsia"/>
              </w:rPr>
            </w:pPr>
          </w:p>
          <w:p>
            <w:pPr>
              <w:pStyle w:val="2"/>
              <w:ind w:firstLine="480"/>
              <w:rPr>
                <w:rFonts w:eastAsiaTheme="minorEastAsia"/>
              </w:rPr>
            </w:pPr>
          </w:p>
          <w:p>
            <w:pPr>
              <w:pStyle w:val="2"/>
              <w:ind w:firstLine="0" w:firstLineChars="0"/>
              <w:rPr>
                <w:rFonts w:eastAsiaTheme="minorEastAsia"/>
              </w:rPr>
            </w:pPr>
          </w:p>
        </w:tc>
      </w:tr>
    </w:tbl>
    <w:p>
      <w:pPr>
        <w:pStyle w:val="3"/>
        <w:rPr>
          <w:b w:val="0"/>
          <w:bCs w:val="0"/>
          <w:color w:val="000000"/>
          <w:sz w:val="28"/>
          <w:szCs w:val="28"/>
        </w:rPr>
      </w:pPr>
      <w:bookmarkStart w:id="16" w:name="_Toc501805939"/>
      <w:r>
        <w:rPr>
          <w:color w:val="000000"/>
        </w:rPr>
        <w:br w:type="page"/>
      </w:r>
      <w:bookmarkStart w:id="17" w:name="_Toc13513"/>
      <w:r>
        <w:rPr>
          <w:color w:val="000000"/>
          <w:sz w:val="28"/>
          <w:szCs w:val="28"/>
        </w:rPr>
        <w:t>表7 保护目标和评价标准</w:t>
      </w:r>
      <w:bookmarkEnd w:id="17"/>
    </w:p>
    <w:bookmarkEnd w:id="16"/>
    <w:tbl>
      <w:tblPr>
        <w:tblStyle w:val="16"/>
        <w:tblW w:w="8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641" w:type="dxa"/>
          </w:tcPr>
          <w:p>
            <w:pPr>
              <w:pStyle w:val="2"/>
              <w:ind w:firstLine="0" w:firstLineChars="0"/>
              <w:rPr>
                <w:rFonts w:eastAsia="宋体"/>
                <w:color w:val="000000"/>
              </w:rPr>
            </w:pPr>
            <w:r>
              <w:rPr>
                <w:rFonts w:eastAsia="宋体"/>
                <w:b/>
                <w:bCs/>
                <w:color w:val="000000"/>
                <w:sz w:val="28"/>
                <w:szCs w:val="28"/>
              </w:rPr>
              <w:t>7.1 评价范围</w:t>
            </w:r>
          </w:p>
          <w:p>
            <w:pPr>
              <w:pStyle w:val="2"/>
              <w:ind w:firstLine="480"/>
              <w:rPr>
                <w:rFonts w:eastAsia="宋体"/>
                <w:color w:val="FF0000"/>
              </w:rPr>
            </w:pPr>
            <w:r>
              <w:drawing>
                <wp:anchor distT="0" distB="0" distL="114300" distR="114300" simplePos="0" relativeHeight="251675648" behindDoc="0" locked="0" layoutInCell="1" allowOverlap="1">
                  <wp:simplePos x="0" y="0"/>
                  <wp:positionH relativeFrom="column">
                    <wp:posOffset>113030</wp:posOffset>
                  </wp:positionH>
                  <wp:positionV relativeFrom="paragraph">
                    <wp:posOffset>1579880</wp:posOffset>
                  </wp:positionV>
                  <wp:extent cx="5127625" cy="3898900"/>
                  <wp:effectExtent l="0" t="0" r="0" b="6350"/>
                  <wp:wrapTopAndBottom/>
                  <wp:docPr id="6049059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05928"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27625" cy="3898900"/>
                          </a:xfrm>
                          <a:prstGeom prst="rect">
                            <a:avLst/>
                          </a:prstGeom>
                          <a:noFill/>
                          <a:ln>
                            <a:noFill/>
                          </a:ln>
                        </pic:spPr>
                      </pic:pic>
                    </a:graphicData>
                  </a:graphic>
                </wp:anchor>
              </w:drawing>
            </w:r>
            <w:r>
              <w:rPr>
                <w:rFonts w:eastAsia="宋体"/>
                <w:color w:val="000000"/>
              </w:rPr>
              <w:t>本项目</w:t>
            </w:r>
            <w:r>
              <w:rPr>
                <w:rFonts w:eastAsia="宋体"/>
              </w:rPr>
              <w:t>拟配置的</w:t>
            </w:r>
            <w:r>
              <w:rPr>
                <w:rFonts w:hint="eastAsia"/>
                <w:color w:val="000000"/>
                <w:kern w:val="0"/>
              </w:rPr>
              <w:t>数字减影血管造影机（DSA）</w:t>
            </w:r>
            <w:r>
              <w:rPr>
                <w:rFonts w:hint="eastAsia" w:eastAsia="宋体"/>
              </w:rPr>
              <w:t>属于</w:t>
            </w:r>
            <w:r>
              <w:rPr>
                <w:rFonts w:eastAsia="宋体"/>
                <w:color w:val="000000"/>
              </w:rPr>
              <w:t>Ⅱ类射线装置，根据《辐射环境保护管理导则—核技术利用建设项目环境影响评价文件的内容和格式》（HJ10.1-2016）中“放射源和射线装置应用项目的评价范围，通常取装置所在场所实体屏蔽物边界外50m的范围”的要求，确定项目辐射环境影响评价的范围为手术室防护屏蔽墙体外50m</w:t>
            </w:r>
            <w:r>
              <w:rPr>
                <w:rFonts w:hint="eastAsia" w:eastAsia="宋体"/>
                <w:color w:val="000000"/>
              </w:rPr>
              <w:t>的范围</w:t>
            </w:r>
            <w:r>
              <w:rPr>
                <w:rFonts w:eastAsia="宋体"/>
                <w:color w:val="000000"/>
              </w:rPr>
              <w:t>。评价范围示意</w:t>
            </w:r>
            <w:r>
              <w:rPr>
                <w:rFonts w:eastAsia="宋体"/>
              </w:rPr>
              <w:t>图见图7-1。</w:t>
            </w:r>
          </w:p>
          <w:p>
            <w:pPr>
              <w:jc w:val="center"/>
            </w:pPr>
            <w:r>
              <w:rPr>
                <w:rFonts w:eastAsia="黑体"/>
                <w:b/>
                <w:bCs/>
                <w:spacing w:val="-4"/>
              </w:rPr>
              <w:t>图 7-1  本项目评价范围图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41" w:type="dxa"/>
          </w:tcPr>
          <w:p>
            <w:pPr>
              <w:pStyle w:val="2"/>
              <w:ind w:firstLine="0" w:firstLineChars="0"/>
              <w:rPr>
                <w:rFonts w:eastAsia="宋体"/>
                <w:b/>
                <w:bCs/>
                <w:color w:val="000000"/>
                <w:sz w:val="28"/>
                <w:szCs w:val="28"/>
              </w:rPr>
            </w:pPr>
            <w:r>
              <w:rPr>
                <w:rFonts w:eastAsia="宋体"/>
                <w:b/>
                <w:bCs/>
                <w:color w:val="000000"/>
                <w:sz w:val="28"/>
                <w:szCs w:val="28"/>
              </w:rPr>
              <w:t xml:space="preserve">7.2 </w:t>
            </w:r>
            <w:r>
              <w:rPr>
                <w:rFonts w:hint="eastAsia" w:eastAsia="宋体"/>
                <w:b/>
                <w:bCs/>
                <w:color w:val="000000"/>
                <w:sz w:val="28"/>
                <w:szCs w:val="28"/>
              </w:rPr>
              <w:t>主要</w:t>
            </w:r>
            <w:r>
              <w:rPr>
                <w:rFonts w:eastAsia="宋体"/>
                <w:b/>
                <w:bCs/>
                <w:color w:val="000000"/>
                <w:sz w:val="28"/>
                <w:szCs w:val="28"/>
              </w:rPr>
              <w:t>环境保护目标</w:t>
            </w:r>
          </w:p>
          <w:p>
            <w:pPr>
              <w:adjustRightInd w:val="0"/>
              <w:snapToGrid w:val="0"/>
              <w:spacing w:line="360" w:lineRule="auto"/>
              <w:ind w:firstLine="480" w:firstLineChars="200"/>
              <w:rPr>
                <w:color w:val="000000"/>
              </w:rPr>
            </w:pPr>
            <w:r>
              <w:rPr>
                <w:rFonts w:hint="eastAsia"/>
                <w:color w:val="000000"/>
              </w:rPr>
              <w:t>结合图7-1，项目主要环境保护目标为职业人员和公众，其中，职业人员为从事</w:t>
            </w:r>
            <w:r>
              <w:rPr>
                <w:rFonts w:hint="eastAsia"/>
                <w:color w:val="000000"/>
                <w:kern w:val="0"/>
              </w:rPr>
              <w:t>数字减影血管造影机（DSA）</w:t>
            </w:r>
            <w:r>
              <w:rPr>
                <w:rFonts w:hint="eastAsia"/>
                <w:color w:val="000000"/>
              </w:rPr>
              <w:t>操作的医护人员，公众为DSA手术室实体屏蔽物边界外50m范围内的其他工作人员及公众。项目主要环境保护目标详见表7-1。</w:t>
            </w:r>
          </w:p>
          <w:p>
            <w:pPr>
              <w:spacing w:line="360" w:lineRule="auto"/>
              <w:jc w:val="center"/>
              <w:rPr>
                <w:rFonts w:eastAsia="黑体"/>
                <w:b/>
                <w:bCs/>
                <w:sz w:val="22"/>
                <w:szCs w:val="22"/>
              </w:rPr>
            </w:pPr>
          </w:p>
          <w:p>
            <w:pPr>
              <w:spacing w:line="360" w:lineRule="auto"/>
              <w:jc w:val="center"/>
              <w:rPr>
                <w:rFonts w:eastAsia="黑体"/>
                <w:b/>
                <w:bCs/>
                <w:sz w:val="22"/>
                <w:szCs w:val="22"/>
              </w:rPr>
            </w:pPr>
          </w:p>
          <w:p>
            <w:pPr>
              <w:spacing w:line="360" w:lineRule="auto"/>
              <w:jc w:val="center"/>
              <w:rPr>
                <w:rFonts w:eastAsia="黑体"/>
                <w:b/>
                <w:bCs/>
                <w:sz w:val="22"/>
                <w:szCs w:val="22"/>
              </w:rPr>
            </w:pPr>
          </w:p>
          <w:p>
            <w:pPr>
              <w:spacing w:line="360" w:lineRule="auto"/>
              <w:jc w:val="center"/>
              <w:rPr>
                <w:rFonts w:ascii="宋体" w:hAnsi="宋体"/>
                <w:b/>
                <w:bCs/>
                <w:sz w:val="21"/>
                <w:szCs w:val="21"/>
              </w:rPr>
            </w:pPr>
            <w:r>
              <w:rPr>
                <w:rFonts w:ascii="宋体" w:hAnsi="宋体"/>
                <w:b/>
                <w:bCs/>
                <w:sz w:val="21"/>
                <w:szCs w:val="21"/>
              </w:rPr>
              <w:t xml:space="preserve">表7-1 </w:t>
            </w:r>
            <w:r>
              <w:rPr>
                <w:rFonts w:hint="eastAsia" w:ascii="宋体" w:hAnsi="宋体"/>
                <w:b/>
                <w:bCs/>
                <w:sz w:val="21"/>
                <w:szCs w:val="21"/>
              </w:rPr>
              <w:t xml:space="preserve"> </w:t>
            </w:r>
            <w:r>
              <w:rPr>
                <w:rFonts w:ascii="宋体" w:hAnsi="宋体"/>
                <w:b/>
                <w:bCs/>
                <w:sz w:val="21"/>
                <w:szCs w:val="21"/>
              </w:rPr>
              <w:t>环境保护与控制目标一览表</w:t>
            </w:r>
          </w:p>
          <w:tbl>
            <w:tblPr>
              <w:tblStyle w:val="16"/>
              <w:tblW w:w="8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850"/>
              <w:gridCol w:w="2694"/>
              <w:gridCol w:w="850"/>
              <w:gridCol w:w="851"/>
              <w:gridCol w:w="114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exact"/>
                <w:jc w:val="center"/>
              </w:trPr>
              <w:tc>
                <w:tcPr>
                  <w:tcW w:w="703" w:type="dxa"/>
                  <w:tcBorders>
                    <w:top w:val="single" w:color="auto" w:sz="12" w:space="0"/>
                    <w:left w:val="nil"/>
                    <w:bottom w:val="single" w:color="auto" w:sz="12" w:space="0"/>
                    <w:right w:val="single" w:color="auto" w:sz="4" w:space="0"/>
                  </w:tcBorders>
                  <w:vAlign w:val="center"/>
                </w:tcPr>
                <w:p>
                  <w:pPr>
                    <w:spacing w:line="240" w:lineRule="exact"/>
                    <w:jc w:val="center"/>
                    <w:rPr>
                      <w:b/>
                      <w:bCs/>
                      <w:color w:val="000000"/>
                      <w:sz w:val="21"/>
                      <w:lang w:val="en-GB"/>
                    </w:rPr>
                  </w:pPr>
                  <w:r>
                    <w:rPr>
                      <w:b/>
                      <w:bCs/>
                      <w:color w:val="000000"/>
                      <w:sz w:val="21"/>
                      <w:lang w:val="en-GB"/>
                    </w:rPr>
                    <w:t>对象</w:t>
                  </w:r>
                </w:p>
              </w:tc>
              <w:tc>
                <w:tcPr>
                  <w:tcW w:w="850" w:type="dxa"/>
                  <w:tcBorders>
                    <w:top w:val="single" w:color="auto" w:sz="12" w:space="0"/>
                    <w:left w:val="single" w:color="auto" w:sz="4" w:space="0"/>
                    <w:bottom w:val="single" w:color="auto" w:sz="12" w:space="0"/>
                    <w:right w:val="single" w:color="auto" w:sz="4" w:space="0"/>
                  </w:tcBorders>
                  <w:vAlign w:val="center"/>
                </w:tcPr>
                <w:p>
                  <w:pPr>
                    <w:spacing w:line="240" w:lineRule="exact"/>
                    <w:jc w:val="center"/>
                    <w:rPr>
                      <w:b/>
                      <w:bCs/>
                      <w:color w:val="000000"/>
                      <w:sz w:val="21"/>
                      <w:lang w:val="en-GB"/>
                    </w:rPr>
                  </w:pPr>
                  <w:r>
                    <w:rPr>
                      <w:rFonts w:hint="eastAsia"/>
                      <w:b/>
                      <w:bCs/>
                      <w:color w:val="000000"/>
                      <w:sz w:val="21"/>
                      <w:lang w:val="en-GB"/>
                    </w:rPr>
                    <w:t>类型</w:t>
                  </w:r>
                </w:p>
              </w:tc>
              <w:tc>
                <w:tcPr>
                  <w:tcW w:w="2694" w:type="dxa"/>
                  <w:tcBorders>
                    <w:top w:val="single" w:color="auto" w:sz="12" w:space="0"/>
                    <w:left w:val="single" w:color="auto" w:sz="4" w:space="0"/>
                    <w:bottom w:val="single" w:color="auto" w:sz="12" w:space="0"/>
                    <w:right w:val="single" w:color="auto" w:sz="4" w:space="0"/>
                  </w:tcBorders>
                  <w:vAlign w:val="center"/>
                </w:tcPr>
                <w:p>
                  <w:pPr>
                    <w:spacing w:line="240" w:lineRule="exact"/>
                    <w:jc w:val="center"/>
                    <w:rPr>
                      <w:b/>
                      <w:bCs/>
                      <w:color w:val="000000"/>
                      <w:sz w:val="21"/>
                      <w:lang w:val="en-GB"/>
                    </w:rPr>
                  </w:pPr>
                  <w:r>
                    <w:rPr>
                      <w:b/>
                      <w:bCs/>
                      <w:color w:val="000000"/>
                      <w:sz w:val="21"/>
                      <w:lang w:val="en-GB"/>
                    </w:rPr>
                    <w:t>环境保护目标</w:t>
                  </w:r>
                </w:p>
              </w:tc>
              <w:tc>
                <w:tcPr>
                  <w:tcW w:w="850" w:type="dxa"/>
                  <w:tcBorders>
                    <w:top w:val="single" w:color="auto" w:sz="12" w:space="0"/>
                    <w:left w:val="single" w:color="auto" w:sz="4" w:space="0"/>
                    <w:bottom w:val="single" w:color="auto" w:sz="12" w:space="0"/>
                    <w:right w:val="single" w:color="auto" w:sz="4" w:space="0"/>
                  </w:tcBorders>
                  <w:vAlign w:val="center"/>
                </w:tcPr>
                <w:p>
                  <w:pPr>
                    <w:spacing w:line="240" w:lineRule="exact"/>
                    <w:jc w:val="center"/>
                    <w:rPr>
                      <w:b/>
                      <w:bCs/>
                      <w:color w:val="000000"/>
                      <w:sz w:val="21"/>
                      <w:lang w:val="en-GB"/>
                    </w:rPr>
                  </w:pPr>
                  <w:r>
                    <w:rPr>
                      <w:b/>
                      <w:bCs/>
                      <w:color w:val="000000"/>
                      <w:sz w:val="21"/>
                      <w:lang w:val="en-GB"/>
                    </w:rPr>
                    <w:t>相对</w:t>
                  </w:r>
                </w:p>
                <w:p>
                  <w:pPr>
                    <w:spacing w:line="240" w:lineRule="exact"/>
                    <w:jc w:val="center"/>
                    <w:rPr>
                      <w:b/>
                      <w:bCs/>
                      <w:color w:val="000000"/>
                      <w:sz w:val="21"/>
                      <w:lang w:val="en-GB"/>
                    </w:rPr>
                  </w:pPr>
                  <w:r>
                    <w:rPr>
                      <w:b/>
                      <w:bCs/>
                      <w:color w:val="000000"/>
                      <w:sz w:val="21"/>
                      <w:lang w:val="en-GB"/>
                    </w:rPr>
                    <w:t>方位</w:t>
                  </w:r>
                </w:p>
              </w:tc>
              <w:tc>
                <w:tcPr>
                  <w:tcW w:w="851" w:type="dxa"/>
                  <w:tcBorders>
                    <w:top w:val="single" w:color="auto" w:sz="12" w:space="0"/>
                    <w:left w:val="single" w:color="auto" w:sz="4" w:space="0"/>
                    <w:bottom w:val="single" w:color="auto" w:sz="12" w:space="0"/>
                    <w:right w:val="single" w:color="auto" w:sz="4" w:space="0"/>
                  </w:tcBorders>
                  <w:vAlign w:val="center"/>
                </w:tcPr>
                <w:p>
                  <w:pPr>
                    <w:spacing w:line="240" w:lineRule="exact"/>
                    <w:jc w:val="center"/>
                    <w:rPr>
                      <w:b/>
                      <w:bCs/>
                      <w:color w:val="000000"/>
                      <w:sz w:val="21"/>
                      <w:lang w:val="en-GB"/>
                    </w:rPr>
                  </w:pPr>
                  <w:r>
                    <w:rPr>
                      <w:b/>
                      <w:bCs/>
                      <w:color w:val="000000"/>
                      <w:sz w:val="21"/>
                      <w:lang w:val="en-GB"/>
                    </w:rPr>
                    <w:t>最近距离m</w:t>
                  </w:r>
                </w:p>
              </w:tc>
              <w:tc>
                <w:tcPr>
                  <w:tcW w:w="1141" w:type="dxa"/>
                  <w:tcBorders>
                    <w:top w:val="single" w:color="auto" w:sz="12" w:space="0"/>
                    <w:left w:val="single" w:color="auto" w:sz="4" w:space="0"/>
                    <w:bottom w:val="single" w:color="auto" w:sz="12" w:space="0"/>
                    <w:right w:val="nil"/>
                  </w:tcBorders>
                  <w:vAlign w:val="center"/>
                </w:tcPr>
                <w:p>
                  <w:pPr>
                    <w:spacing w:line="240" w:lineRule="exact"/>
                    <w:jc w:val="center"/>
                    <w:rPr>
                      <w:b/>
                      <w:bCs/>
                      <w:color w:val="000000"/>
                      <w:sz w:val="21"/>
                    </w:rPr>
                  </w:pPr>
                  <w:r>
                    <w:rPr>
                      <w:b/>
                      <w:bCs/>
                      <w:color w:val="000000"/>
                      <w:sz w:val="21"/>
                    </w:rPr>
                    <w:t>规模</w:t>
                  </w:r>
                </w:p>
              </w:tc>
              <w:tc>
                <w:tcPr>
                  <w:tcW w:w="1275" w:type="dxa"/>
                  <w:tcBorders>
                    <w:top w:val="single" w:color="auto" w:sz="12" w:space="0"/>
                    <w:left w:val="single" w:color="auto" w:sz="4" w:space="0"/>
                    <w:bottom w:val="single" w:color="auto" w:sz="12" w:space="0"/>
                    <w:right w:val="nil"/>
                  </w:tcBorders>
                  <w:vAlign w:val="center"/>
                </w:tcPr>
                <w:p>
                  <w:pPr>
                    <w:spacing w:line="240" w:lineRule="exact"/>
                    <w:jc w:val="center"/>
                    <w:rPr>
                      <w:b/>
                      <w:bCs/>
                      <w:color w:val="000000"/>
                      <w:sz w:val="21"/>
                    </w:rPr>
                  </w:pPr>
                  <w:r>
                    <w:rPr>
                      <w:b/>
                      <w:bCs/>
                      <w:color w:val="000000"/>
                      <w:sz w:val="21"/>
                    </w:rPr>
                    <w:t>年剂量约束值（mSv/a）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3" w:type="dxa"/>
                  <w:vMerge w:val="restart"/>
                  <w:tcBorders>
                    <w:top w:val="single" w:color="auto" w:sz="12" w:space="0"/>
                    <w:left w:val="nil"/>
                    <w:right w:val="single" w:color="auto" w:sz="4" w:space="0"/>
                  </w:tcBorders>
                  <w:vAlign w:val="center"/>
                </w:tcPr>
                <w:p>
                  <w:pPr>
                    <w:snapToGrid w:val="0"/>
                    <w:jc w:val="center"/>
                    <w:rPr>
                      <w:color w:val="000000"/>
                      <w:sz w:val="21"/>
                    </w:rPr>
                  </w:pPr>
                  <w:r>
                    <w:rPr>
                      <w:color w:val="000000"/>
                      <w:sz w:val="21"/>
                    </w:rPr>
                    <w:t>DSA</w:t>
                  </w:r>
                </w:p>
              </w:tc>
              <w:tc>
                <w:tcPr>
                  <w:tcW w:w="850" w:type="dxa"/>
                  <w:vMerge w:val="restart"/>
                  <w:tcBorders>
                    <w:top w:val="single" w:color="auto" w:sz="12" w:space="0"/>
                    <w:left w:val="single" w:color="auto" w:sz="4" w:space="0"/>
                    <w:right w:val="single" w:color="auto" w:sz="4" w:space="0"/>
                  </w:tcBorders>
                  <w:vAlign w:val="center"/>
                </w:tcPr>
                <w:p>
                  <w:pPr>
                    <w:snapToGrid w:val="0"/>
                    <w:jc w:val="center"/>
                    <w:rPr>
                      <w:color w:val="000000"/>
                      <w:sz w:val="21"/>
                      <w:lang w:val="en-GB"/>
                    </w:rPr>
                  </w:pPr>
                  <w:r>
                    <w:rPr>
                      <w:color w:val="000000"/>
                      <w:sz w:val="21"/>
                      <w:lang w:val="en-GB"/>
                    </w:rPr>
                    <w:t>辐射工作人员</w:t>
                  </w:r>
                </w:p>
              </w:tc>
              <w:tc>
                <w:tcPr>
                  <w:tcW w:w="2694" w:type="dxa"/>
                  <w:tcBorders>
                    <w:top w:val="single" w:color="auto" w:sz="12" w:space="0"/>
                    <w:left w:val="single" w:color="auto" w:sz="4" w:space="0"/>
                    <w:bottom w:val="single" w:color="auto" w:sz="4" w:space="0"/>
                    <w:right w:val="single" w:color="auto" w:sz="4" w:space="0"/>
                  </w:tcBorders>
                  <w:vAlign w:val="center"/>
                </w:tcPr>
                <w:p>
                  <w:pPr>
                    <w:snapToGrid w:val="0"/>
                    <w:jc w:val="left"/>
                    <w:rPr>
                      <w:color w:val="000000"/>
                      <w:sz w:val="21"/>
                    </w:rPr>
                  </w:pPr>
                  <w:r>
                    <w:rPr>
                      <w:color w:val="000000"/>
                      <w:sz w:val="21"/>
                    </w:rPr>
                    <w:t>控制室工作人员</w:t>
                  </w:r>
                </w:p>
              </w:tc>
              <w:tc>
                <w:tcPr>
                  <w:tcW w:w="850" w:type="dxa"/>
                  <w:tcBorders>
                    <w:top w:val="single" w:color="auto" w:sz="12" w:space="0"/>
                    <w:left w:val="single" w:color="auto" w:sz="4" w:space="0"/>
                    <w:bottom w:val="single" w:color="auto" w:sz="4" w:space="0"/>
                    <w:right w:val="single" w:color="auto" w:sz="4" w:space="0"/>
                  </w:tcBorders>
                  <w:vAlign w:val="center"/>
                </w:tcPr>
                <w:p>
                  <w:pPr>
                    <w:snapToGrid w:val="0"/>
                    <w:jc w:val="center"/>
                    <w:rPr>
                      <w:color w:val="000000"/>
                      <w:sz w:val="21"/>
                    </w:rPr>
                  </w:pPr>
                  <w:r>
                    <w:rPr>
                      <w:color w:val="000000"/>
                      <w:sz w:val="21"/>
                    </w:rPr>
                    <w:t>W</w:t>
                  </w:r>
                </w:p>
              </w:tc>
              <w:tc>
                <w:tcPr>
                  <w:tcW w:w="851" w:type="dxa"/>
                  <w:tcBorders>
                    <w:top w:val="single" w:color="auto" w:sz="12" w:space="0"/>
                    <w:left w:val="single" w:color="auto" w:sz="4" w:space="0"/>
                    <w:bottom w:val="single" w:color="auto" w:sz="4" w:space="0"/>
                    <w:right w:val="single" w:color="auto" w:sz="4" w:space="0"/>
                  </w:tcBorders>
                  <w:vAlign w:val="center"/>
                </w:tcPr>
                <w:p>
                  <w:pPr>
                    <w:snapToGrid w:val="0"/>
                    <w:jc w:val="center"/>
                    <w:rPr>
                      <w:color w:val="000000"/>
                      <w:sz w:val="21"/>
                    </w:rPr>
                  </w:pPr>
                  <w:r>
                    <w:rPr>
                      <w:color w:val="000000"/>
                      <w:sz w:val="21"/>
                    </w:rPr>
                    <w:t>0.3</w:t>
                  </w:r>
                </w:p>
              </w:tc>
              <w:tc>
                <w:tcPr>
                  <w:tcW w:w="1141" w:type="dxa"/>
                  <w:tcBorders>
                    <w:top w:val="single" w:color="auto" w:sz="12" w:space="0"/>
                    <w:left w:val="single" w:color="auto" w:sz="4" w:space="0"/>
                    <w:bottom w:val="single" w:color="auto" w:sz="4" w:space="0"/>
                    <w:right w:val="nil"/>
                  </w:tcBorders>
                  <w:vAlign w:val="center"/>
                </w:tcPr>
                <w:p>
                  <w:pPr>
                    <w:snapToGrid w:val="0"/>
                    <w:jc w:val="center"/>
                    <w:rPr>
                      <w:color w:val="000000"/>
                      <w:sz w:val="21"/>
                    </w:rPr>
                  </w:pPr>
                  <w:r>
                    <w:rPr>
                      <w:color w:val="000000"/>
                      <w:sz w:val="21"/>
                    </w:rPr>
                    <w:t>2人</w:t>
                  </w:r>
                </w:p>
              </w:tc>
              <w:tc>
                <w:tcPr>
                  <w:tcW w:w="1275" w:type="dxa"/>
                  <w:tcBorders>
                    <w:top w:val="single" w:color="auto" w:sz="12" w:space="0"/>
                    <w:left w:val="single" w:color="auto" w:sz="4" w:space="0"/>
                    <w:bottom w:val="single" w:color="auto" w:sz="4" w:space="0"/>
                    <w:right w:val="nil"/>
                  </w:tcBorders>
                  <w:vAlign w:val="center"/>
                </w:tcPr>
                <w:p>
                  <w:pPr>
                    <w:snapToGrid w:val="0"/>
                    <w:jc w:val="center"/>
                    <w:rPr>
                      <w:color w:val="000000"/>
                      <w:sz w:val="21"/>
                    </w:rPr>
                  </w:pPr>
                  <w:r>
                    <w:rPr>
                      <w:color w:val="000000"/>
                      <w:sz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3" w:type="dxa"/>
                  <w:vMerge w:val="continue"/>
                  <w:tcBorders>
                    <w:left w:val="nil"/>
                    <w:right w:val="single" w:color="auto" w:sz="4" w:space="0"/>
                  </w:tcBorders>
                  <w:vAlign w:val="center"/>
                </w:tcPr>
                <w:p>
                  <w:pPr>
                    <w:snapToGrid w:val="0"/>
                    <w:jc w:val="center"/>
                    <w:rPr>
                      <w:color w:val="000000"/>
                      <w:sz w:val="21"/>
                    </w:rPr>
                  </w:pPr>
                </w:p>
              </w:tc>
              <w:tc>
                <w:tcPr>
                  <w:tcW w:w="850" w:type="dxa"/>
                  <w:vMerge w:val="continue"/>
                  <w:tcBorders>
                    <w:left w:val="single" w:color="auto" w:sz="4" w:space="0"/>
                    <w:bottom w:val="single" w:color="auto" w:sz="4" w:space="0"/>
                    <w:right w:val="single" w:color="auto" w:sz="4" w:space="0"/>
                  </w:tcBorders>
                  <w:vAlign w:val="center"/>
                </w:tcPr>
                <w:p>
                  <w:pPr>
                    <w:snapToGrid w:val="0"/>
                    <w:jc w:val="center"/>
                    <w:rPr>
                      <w:color w:val="000000"/>
                      <w:sz w:val="21"/>
                      <w:lang w:val="en-GB"/>
                    </w:rPr>
                  </w:pPr>
                </w:p>
              </w:tc>
              <w:tc>
                <w:tcPr>
                  <w:tcW w:w="2694" w:type="dxa"/>
                  <w:tcBorders>
                    <w:top w:val="single" w:color="auto" w:sz="4" w:space="0"/>
                    <w:left w:val="single" w:color="auto" w:sz="4" w:space="0"/>
                    <w:bottom w:val="single" w:color="auto" w:sz="4" w:space="0"/>
                    <w:right w:val="single" w:color="auto" w:sz="4" w:space="0"/>
                  </w:tcBorders>
                  <w:vAlign w:val="center"/>
                </w:tcPr>
                <w:p>
                  <w:pPr>
                    <w:snapToGrid w:val="0"/>
                    <w:jc w:val="left"/>
                    <w:rPr>
                      <w:color w:val="000000"/>
                      <w:sz w:val="21"/>
                    </w:rPr>
                  </w:pPr>
                  <w:r>
                    <w:rPr>
                      <w:color w:val="000000"/>
                      <w:sz w:val="21"/>
                    </w:rPr>
                    <w:t>介入人员（手术医生、护士）</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rPr>
                  </w:pPr>
                  <w:r>
                    <w:rPr>
                      <w:color w:val="000000"/>
                      <w:sz w:val="21"/>
                    </w:rPr>
                    <w:t>机房内</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rPr>
                  </w:pPr>
                  <w:r>
                    <w:rPr>
                      <w:color w:val="000000"/>
                      <w:sz w:val="21"/>
                    </w:rPr>
                    <w:t>0.5*</w:t>
                  </w:r>
                </w:p>
              </w:tc>
              <w:tc>
                <w:tcPr>
                  <w:tcW w:w="1141" w:type="dxa"/>
                  <w:tcBorders>
                    <w:top w:val="single" w:color="auto" w:sz="4" w:space="0"/>
                    <w:left w:val="single" w:color="auto" w:sz="4" w:space="0"/>
                    <w:bottom w:val="single" w:color="auto" w:sz="4" w:space="0"/>
                    <w:right w:val="nil"/>
                  </w:tcBorders>
                  <w:vAlign w:val="center"/>
                </w:tcPr>
                <w:p>
                  <w:pPr>
                    <w:snapToGrid w:val="0"/>
                    <w:jc w:val="center"/>
                    <w:rPr>
                      <w:color w:val="000000"/>
                      <w:sz w:val="21"/>
                    </w:rPr>
                  </w:pPr>
                  <w:r>
                    <w:rPr>
                      <w:color w:val="000000"/>
                      <w:sz w:val="21"/>
                    </w:rPr>
                    <w:t>4人</w:t>
                  </w:r>
                </w:p>
              </w:tc>
              <w:tc>
                <w:tcPr>
                  <w:tcW w:w="1275" w:type="dxa"/>
                  <w:tcBorders>
                    <w:top w:val="single" w:color="auto" w:sz="4" w:space="0"/>
                    <w:left w:val="single" w:color="auto" w:sz="4" w:space="0"/>
                    <w:bottom w:val="single" w:color="auto" w:sz="4" w:space="0"/>
                    <w:right w:val="nil"/>
                  </w:tcBorders>
                  <w:vAlign w:val="center"/>
                </w:tcPr>
                <w:p>
                  <w:pPr>
                    <w:snapToGrid w:val="0"/>
                    <w:jc w:val="center"/>
                    <w:rPr>
                      <w:color w:val="000000"/>
                      <w:sz w:val="21"/>
                    </w:rPr>
                  </w:pPr>
                  <w:r>
                    <w:rPr>
                      <w:color w:val="000000"/>
                      <w:sz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3" w:type="dxa"/>
                  <w:vMerge w:val="continue"/>
                  <w:tcBorders>
                    <w:left w:val="nil"/>
                    <w:right w:val="single" w:color="auto" w:sz="4" w:space="0"/>
                  </w:tcBorders>
                  <w:vAlign w:val="center"/>
                </w:tcPr>
                <w:p>
                  <w:pPr>
                    <w:snapToGrid w:val="0"/>
                    <w:jc w:val="center"/>
                    <w:rPr>
                      <w:color w:val="000000"/>
                      <w:sz w:val="21"/>
                    </w:rPr>
                  </w:pPr>
                </w:p>
              </w:tc>
              <w:tc>
                <w:tcPr>
                  <w:tcW w:w="850" w:type="dxa"/>
                  <w:vMerge w:val="restart"/>
                  <w:tcBorders>
                    <w:top w:val="single" w:color="auto" w:sz="4" w:space="0"/>
                    <w:left w:val="single" w:color="auto" w:sz="4" w:space="0"/>
                    <w:right w:val="single" w:color="auto" w:sz="4" w:space="0"/>
                  </w:tcBorders>
                  <w:vAlign w:val="center"/>
                </w:tcPr>
                <w:p>
                  <w:pPr>
                    <w:snapToGrid w:val="0"/>
                    <w:jc w:val="center"/>
                    <w:rPr>
                      <w:color w:val="000000"/>
                      <w:sz w:val="21"/>
                    </w:rPr>
                  </w:pPr>
                  <w:r>
                    <w:rPr>
                      <w:color w:val="000000"/>
                      <w:sz w:val="21"/>
                    </w:rPr>
                    <w:t>公众</w:t>
                  </w:r>
                </w:p>
              </w:tc>
              <w:tc>
                <w:tcPr>
                  <w:tcW w:w="2694" w:type="dxa"/>
                  <w:tcBorders>
                    <w:top w:val="single" w:color="auto" w:sz="4" w:space="0"/>
                    <w:left w:val="single" w:color="auto" w:sz="4" w:space="0"/>
                    <w:right w:val="single" w:color="auto" w:sz="4" w:space="0"/>
                  </w:tcBorders>
                  <w:vAlign w:val="center"/>
                </w:tcPr>
                <w:p>
                  <w:pPr>
                    <w:snapToGrid w:val="0"/>
                    <w:rPr>
                      <w:color w:val="000000"/>
                      <w:sz w:val="21"/>
                    </w:rPr>
                  </w:pPr>
                  <w:r>
                    <w:rPr>
                      <w:rFonts w:hint="eastAsia"/>
                      <w:color w:val="000000"/>
                      <w:sz w:val="21"/>
                    </w:rPr>
                    <w:t>走廊内</w:t>
                  </w:r>
                  <w:r>
                    <w:rPr>
                      <w:color w:val="000000"/>
                      <w:sz w:val="21"/>
                    </w:rPr>
                    <w:t>人员</w:t>
                  </w:r>
                </w:p>
              </w:tc>
              <w:tc>
                <w:tcPr>
                  <w:tcW w:w="850" w:type="dxa"/>
                  <w:tcBorders>
                    <w:top w:val="single" w:color="auto" w:sz="4" w:space="0"/>
                    <w:left w:val="single" w:color="auto" w:sz="4" w:space="0"/>
                    <w:right w:val="single" w:color="auto" w:sz="4" w:space="0"/>
                  </w:tcBorders>
                  <w:vAlign w:val="center"/>
                </w:tcPr>
                <w:p>
                  <w:pPr>
                    <w:snapToGrid w:val="0"/>
                    <w:jc w:val="center"/>
                    <w:rPr>
                      <w:color w:val="000000"/>
                      <w:sz w:val="21"/>
                    </w:rPr>
                  </w:pPr>
                  <w:r>
                    <w:rPr>
                      <w:color w:val="000000"/>
                      <w:sz w:val="21"/>
                    </w:rPr>
                    <w:t>E</w:t>
                  </w:r>
                </w:p>
              </w:tc>
              <w:tc>
                <w:tcPr>
                  <w:tcW w:w="851" w:type="dxa"/>
                  <w:tcBorders>
                    <w:top w:val="single" w:color="auto" w:sz="4" w:space="0"/>
                    <w:left w:val="single" w:color="auto" w:sz="4" w:space="0"/>
                    <w:right w:val="single" w:color="auto" w:sz="4" w:space="0"/>
                  </w:tcBorders>
                  <w:vAlign w:val="center"/>
                </w:tcPr>
                <w:p>
                  <w:pPr>
                    <w:snapToGrid w:val="0"/>
                    <w:jc w:val="center"/>
                    <w:rPr>
                      <w:color w:val="000000"/>
                      <w:sz w:val="21"/>
                    </w:rPr>
                  </w:pPr>
                  <w:r>
                    <w:rPr>
                      <w:color w:val="000000"/>
                      <w:sz w:val="21"/>
                    </w:rPr>
                    <w:t>0.3</w:t>
                  </w:r>
                </w:p>
              </w:tc>
              <w:tc>
                <w:tcPr>
                  <w:tcW w:w="1141" w:type="dxa"/>
                  <w:tcBorders>
                    <w:top w:val="single" w:color="auto" w:sz="4" w:space="0"/>
                    <w:left w:val="single" w:color="auto" w:sz="4" w:space="0"/>
                    <w:right w:val="nil"/>
                  </w:tcBorders>
                  <w:vAlign w:val="center"/>
                </w:tcPr>
                <w:p>
                  <w:pPr>
                    <w:snapToGrid w:val="0"/>
                    <w:jc w:val="center"/>
                    <w:rPr>
                      <w:color w:val="000000"/>
                      <w:sz w:val="21"/>
                    </w:rPr>
                  </w:pPr>
                  <w:r>
                    <w:rPr>
                      <w:color w:val="000000"/>
                      <w:sz w:val="21"/>
                    </w:rPr>
                    <w:t>流动人员</w:t>
                  </w:r>
                </w:p>
              </w:tc>
              <w:tc>
                <w:tcPr>
                  <w:tcW w:w="1275" w:type="dxa"/>
                  <w:tcBorders>
                    <w:top w:val="single" w:color="auto" w:sz="4" w:space="0"/>
                    <w:left w:val="single" w:color="auto" w:sz="4" w:space="0"/>
                    <w:right w:val="nil"/>
                  </w:tcBorders>
                  <w:vAlign w:val="center"/>
                </w:tcPr>
                <w:p>
                  <w:pPr>
                    <w:snapToGrid w:val="0"/>
                    <w:jc w:val="center"/>
                    <w:rPr>
                      <w:color w:val="000000"/>
                      <w:sz w:val="21"/>
                    </w:rPr>
                  </w:pPr>
                  <w:r>
                    <w:rPr>
                      <w:color w:val="000000"/>
                      <w:sz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3" w:type="dxa"/>
                  <w:vMerge w:val="continue"/>
                  <w:tcBorders>
                    <w:left w:val="nil"/>
                    <w:right w:val="single" w:color="auto" w:sz="4" w:space="0"/>
                  </w:tcBorders>
                  <w:vAlign w:val="center"/>
                </w:tcPr>
                <w:p>
                  <w:pPr>
                    <w:snapToGrid w:val="0"/>
                    <w:jc w:val="center"/>
                    <w:rPr>
                      <w:color w:val="000000"/>
                      <w:sz w:val="21"/>
                    </w:rPr>
                  </w:pPr>
                </w:p>
              </w:tc>
              <w:tc>
                <w:tcPr>
                  <w:tcW w:w="850" w:type="dxa"/>
                  <w:vMerge w:val="continue"/>
                  <w:tcBorders>
                    <w:top w:val="single" w:color="auto" w:sz="4" w:space="0"/>
                    <w:left w:val="single" w:color="auto" w:sz="4" w:space="0"/>
                    <w:right w:val="single" w:color="auto" w:sz="4" w:space="0"/>
                  </w:tcBorders>
                  <w:vAlign w:val="center"/>
                </w:tcPr>
                <w:p>
                  <w:pPr>
                    <w:snapToGrid w:val="0"/>
                    <w:jc w:val="center"/>
                    <w:rPr>
                      <w:color w:val="000000"/>
                      <w:sz w:val="21"/>
                    </w:rPr>
                  </w:pPr>
                </w:p>
              </w:tc>
              <w:tc>
                <w:tcPr>
                  <w:tcW w:w="2694" w:type="dxa"/>
                  <w:tcBorders>
                    <w:top w:val="single" w:color="auto" w:sz="4" w:space="0"/>
                    <w:left w:val="single" w:color="auto" w:sz="4" w:space="0"/>
                    <w:right w:val="single" w:color="auto" w:sz="4" w:space="0"/>
                  </w:tcBorders>
                  <w:vAlign w:val="center"/>
                </w:tcPr>
                <w:p>
                  <w:pPr>
                    <w:snapToGrid w:val="0"/>
                    <w:rPr>
                      <w:color w:val="000000"/>
                      <w:sz w:val="21"/>
                    </w:rPr>
                  </w:pPr>
                  <w:r>
                    <w:rPr>
                      <w:rFonts w:hint="eastAsia"/>
                      <w:color w:val="000000"/>
                      <w:sz w:val="21"/>
                    </w:rPr>
                    <w:t>设备间内人员</w:t>
                  </w:r>
                </w:p>
              </w:tc>
              <w:tc>
                <w:tcPr>
                  <w:tcW w:w="850" w:type="dxa"/>
                  <w:tcBorders>
                    <w:top w:val="single" w:color="auto" w:sz="4" w:space="0"/>
                    <w:left w:val="single" w:color="auto" w:sz="4" w:space="0"/>
                    <w:right w:val="single" w:color="auto" w:sz="4" w:space="0"/>
                  </w:tcBorders>
                  <w:vAlign w:val="center"/>
                </w:tcPr>
                <w:p>
                  <w:pPr>
                    <w:snapToGrid w:val="0"/>
                    <w:jc w:val="center"/>
                    <w:rPr>
                      <w:color w:val="000000"/>
                      <w:sz w:val="21"/>
                    </w:rPr>
                  </w:pPr>
                  <w:r>
                    <w:rPr>
                      <w:rFonts w:hint="eastAsia"/>
                      <w:color w:val="000000"/>
                      <w:sz w:val="21"/>
                    </w:rPr>
                    <w:t>E</w:t>
                  </w:r>
                </w:p>
              </w:tc>
              <w:tc>
                <w:tcPr>
                  <w:tcW w:w="851" w:type="dxa"/>
                  <w:tcBorders>
                    <w:top w:val="single" w:color="auto" w:sz="4" w:space="0"/>
                    <w:left w:val="single" w:color="auto" w:sz="4" w:space="0"/>
                    <w:right w:val="single" w:color="auto" w:sz="4" w:space="0"/>
                  </w:tcBorders>
                  <w:vAlign w:val="center"/>
                </w:tcPr>
                <w:p>
                  <w:pPr>
                    <w:snapToGrid w:val="0"/>
                    <w:jc w:val="center"/>
                    <w:rPr>
                      <w:color w:val="000000"/>
                      <w:sz w:val="21"/>
                    </w:rPr>
                  </w:pPr>
                  <w:r>
                    <w:rPr>
                      <w:rFonts w:hint="eastAsia"/>
                      <w:color w:val="000000"/>
                      <w:sz w:val="21"/>
                    </w:rPr>
                    <w:t>0</w:t>
                  </w:r>
                  <w:r>
                    <w:rPr>
                      <w:color w:val="000000"/>
                      <w:sz w:val="21"/>
                    </w:rPr>
                    <w:t>.3</w:t>
                  </w:r>
                </w:p>
              </w:tc>
              <w:tc>
                <w:tcPr>
                  <w:tcW w:w="1141" w:type="dxa"/>
                  <w:tcBorders>
                    <w:top w:val="single" w:color="auto" w:sz="4" w:space="0"/>
                    <w:left w:val="single" w:color="auto" w:sz="4" w:space="0"/>
                    <w:right w:val="nil"/>
                  </w:tcBorders>
                  <w:vAlign w:val="center"/>
                </w:tcPr>
                <w:p>
                  <w:pPr>
                    <w:snapToGrid w:val="0"/>
                    <w:jc w:val="center"/>
                    <w:rPr>
                      <w:color w:val="000000"/>
                      <w:sz w:val="21"/>
                    </w:rPr>
                  </w:pPr>
                  <w:r>
                    <w:rPr>
                      <w:rFonts w:hint="eastAsia"/>
                      <w:color w:val="000000"/>
                      <w:sz w:val="21"/>
                    </w:rPr>
                    <w:t>流动人员</w:t>
                  </w:r>
                </w:p>
              </w:tc>
              <w:tc>
                <w:tcPr>
                  <w:tcW w:w="1275" w:type="dxa"/>
                  <w:tcBorders>
                    <w:top w:val="single" w:color="auto" w:sz="4" w:space="0"/>
                    <w:left w:val="single" w:color="auto" w:sz="4" w:space="0"/>
                    <w:right w:val="nil"/>
                  </w:tcBorders>
                  <w:vAlign w:val="center"/>
                </w:tcPr>
                <w:p>
                  <w:pPr>
                    <w:snapToGrid w:val="0"/>
                    <w:jc w:val="center"/>
                    <w:rPr>
                      <w:color w:val="000000"/>
                      <w:sz w:val="21"/>
                    </w:rPr>
                  </w:pPr>
                  <w:r>
                    <w:rPr>
                      <w:rFonts w:hint="eastAsia"/>
                      <w:color w:val="000000"/>
                      <w:sz w:val="21"/>
                    </w:rPr>
                    <w:t>0</w:t>
                  </w:r>
                  <w:r>
                    <w:rPr>
                      <w:color w:val="000000"/>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3" w:type="dxa"/>
                  <w:vMerge w:val="continue"/>
                  <w:tcBorders>
                    <w:left w:val="nil"/>
                    <w:right w:val="single" w:color="auto" w:sz="4" w:space="0"/>
                  </w:tcBorders>
                  <w:vAlign w:val="center"/>
                </w:tcPr>
                <w:p>
                  <w:pPr>
                    <w:snapToGrid w:val="0"/>
                    <w:jc w:val="center"/>
                    <w:rPr>
                      <w:color w:val="000000"/>
                      <w:sz w:val="21"/>
                    </w:rPr>
                  </w:pPr>
                </w:p>
              </w:tc>
              <w:tc>
                <w:tcPr>
                  <w:tcW w:w="850" w:type="dxa"/>
                  <w:vMerge w:val="continue"/>
                  <w:tcBorders>
                    <w:top w:val="single" w:color="auto" w:sz="4" w:space="0"/>
                    <w:left w:val="single" w:color="auto" w:sz="4" w:space="0"/>
                    <w:right w:val="single" w:color="auto" w:sz="4" w:space="0"/>
                  </w:tcBorders>
                  <w:vAlign w:val="center"/>
                </w:tcPr>
                <w:p>
                  <w:pPr>
                    <w:snapToGrid w:val="0"/>
                    <w:jc w:val="center"/>
                    <w:rPr>
                      <w:color w:val="000000"/>
                      <w:sz w:val="21"/>
                    </w:rPr>
                  </w:pPr>
                </w:p>
              </w:tc>
              <w:tc>
                <w:tcPr>
                  <w:tcW w:w="2694" w:type="dxa"/>
                  <w:tcBorders>
                    <w:top w:val="single" w:color="auto" w:sz="4" w:space="0"/>
                    <w:left w:val="single" w:color="auto" w:sz="4" w:space="0"/>
                    <w:right w:val="single" w:color="auto" w:sz="4" w:space="0"/>
                  </w:tcBorders>
                  <w:vAlign w:val="center"/>
                </w:tcPr>
                <w:p>
                  <w:pPr>
                    <w:snapToGrid w:val="0"/>
                    <w:rPr>
                      <w:color w:val="000000"/>
                      <w:sz w:val="21"/>
                    </w:rPr>
                  </w:pPr>
                  <w:r>
                    <w:rPr>
                      <w:rFonts w:hint="eastAsia"/>
                      <w:color w:val="000000"/>
                      <w:sz w:val="21"/>
                    </w:rPr>
                    <w:t>缓冲间、污物间</w:t>
                  </w:r>
                  <w:r>
                    <w:rPr>
                      <w:color w:val="000000"/>
                      <w:sz w:val="21"/>
                    </w:rPr>
                    <w:t>内人员</w:t>
                  </w:r>
                </w:p>
              </w:tc>
              <w:tc>
                <w:tcPr>
                  <w:tcW w:w="850" w:type="dxa"/>
                  <w:tcBorders>
                    <w:top w:val="single" w:color="auto" w:sz="4" w:space="0"/>
                    <w:left w:val="single" w:color="auto" w:sz="4" w:space="0"/>
                    <w:right w:val="single" w:color="auto" w:sz="4" w:space="0"/>
                  </w:tcBorders>
                  <w:vAlign w:val="center"/>
                </w:tcPr>
                <w:p>
                  <w:pPr>
                    <w:snapToGrid w:val="0"/>
                    <w:jc w:val="center"/>
                    <w:rPr>
                      <w:color w:val="000000"/>
                      <w:sz w:val="21"/>
                    </w:rPr>
                  </w:pPr>
                  <w:r>
                    <w:rPr>
                      <w:color w:val="000000"/>
                      <w:sz w:val="21"/>
                    </w:rPr>
                    <w:t>W</w:t>
                  </w:r>
                </w:p>
              </w:tc>
              <w:tc>
                <w:tcPr>
                  <w:tcW w:w="851" w:type="dxa"/>
                  <w:tcBorders>
                    <w:top w:val="single" w:color="auto" w:sz="4" w:space="0"/>
                    <w:left w:val="single" w:color="auto" w:sz="4" w:space="0"/>
                    <w:right w:val="single" w:color="auto" w:sz="4" w:space="0"/>
                  </w:tcBorders>
                  <w:vAlign w:val="center"/>
                </w:tcPr>
                <w:p>
                  <w:pPr>
                    <w:snapToGrid w:val="0"/>
                    <w:jc w:val="center"/>
                    <w:rPr>
                      <w:color w:val="000000"/>
                      <w:sz w:val="21"/>
                    </w:rPr>
                  </w:pPr>
                  <w:r>
                    <w:rPr>
                      <w:color w:val="000000"/>
                      <w:sz w:val="21"/>
                    </w:rPr>
                    <w:t>0.3</w:t>
                  </w:r>
                </w:p>
              </w:tc>
              <w:tc>
                <w:tcPr>
                  <w:tcW w:w="1141" w:type="dxa"/>
                  <w:tcBorders>
                    <w:top w:val="single" w:color="auto" w:sz="4" w:space="0"/>
                    <w:left w:val="single" w:color="auto" w:sz="4" w:space="0"/>
                    <w:right w:val="nil"/>
                  </w:tcBorders>
                  <w:vAlign w:val="center"/>
                </w:tcPr>
                <w:p>
                  <w:pPr>
                    <w:snapToGrid w:val="0"/>
                    <w:jc w:val="center"/>
                    <w:rPr>
                      <w:color w:val="000000"/>
                      <w:sz w:val="21"/>
                    </w:rPr>
                  </w:pPr>
                  <w:r>
                    <w:rPr>
                      <w:color w:val="000000"/>
                      <w:sz w:val="21"/>
                    </w:rPr>
                    <w:t>流动人员</w:t>
                  </w:r>
                </w:p>
              </w:tc>
              <w:tc>
                <w:tcPr>
                  <w:tcW w:w="1275" w:type="dxa"/>
                  <w:tcBorders>
                    <w:top w:val="single" w:color="auto" w:sz="4" w:space="0"/>
                    <w:left w:val="single" w:color="auto" w:sz="4" w:space="0"/>
                    <w:right w:val="nil"/>
                  </w:tcBorders>
                  <w:vAlign w:val="center"/>
                </w:tcPr>
                <w:p>
                  <w:pPr>
                    <w:snapToGrid w:val="0"/>
                    <w:jc w:val="center"/>
                    <w:rPr>
                      <w:color w:val="000000"/>
                      <w:sz w:val="21"/>
                    </w:rPr>
                  </w:pPr>
                  <w:r>
                    <w:rPr>
                      <w:color w:val="000000"/>
                      <w:sz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3" w:type="dxa"/>
                  <w:vMerge w:val="continue"/>
                  <w:tcBorders>
                    <w:left w:val="nil"/>
                    <w:right w:val="single" w:color="auto" w:sz="4" w:space="0"/>
                  </w:tcBorders>
                  <w:vAlign w:val="center"/>
                </w:tcPr>
                <w:p>
                  <w:pPr>
                    <w:snapToGrid w:val="0"/>
                    <w:jc w:val="center"/>
                    <w:rPr>
                      <w:color w:val="000000"/>
                      <w:sz w:val="21"/>
                    </w:rPr>
                  </w:pPr>
                </w:p>
              </w:tc>
              <w:tc>
                <w:tcPr>
                  <w:tcW w:w="850" w:type="dxa"/>
                  <w:vMerge w:val="continue"/>
                  <w:tcBorders>
                    <w:top w:val="single" w:color="auto" w:sz="4" w:space="0"/>
                    <w:left w:val="single" w:color="auto" w:sz="4" w:space="0"/>
                    <w:right w:val="single" w:color="auto" w:sz="4" w:space="0"/>
                  </w:tcBorders>
                  <w:vAlign w:val="center"/>
                </w:tcPr>
                <w:p>
                  <w:pPr>
                    <w:snapToGrid w:val="0"/>
                    <w:jc w:val="center"/>
                    <w:rPr>
                      <w:color w:val="000000"/>
                      <w:sz w:val="21"/>
                    </w:rPr>
                  </w:pPr>
                </w:p>
              </w:tc>
              <w:tc>
                <w:tcPr>
                  <w:tcW w:w="2694" w:type="dxa"/>
                  <w:tcBorders>
                    <w:top w:val="single" w:color="auto" w:sz="4" w:space="0"/>
                    <w:left w:val="single" w:color="auto" w:sz="4" w:space="0"/>
                    <w:right w:val="single" w:color="auto" w:sz="4" w:space="0"/>
                  </w:tcBorders>
                  <w:vAlign w:val="center"/>
                </w:tcPr>
                <w:p>
                  <w:pPr>
                    <w:snapToGrid w:val="0"/>
                    <w:rPr>
                      <w:color w:val="000000"/>
                      <w:sz w:val="21"/>
                    </w:rPr>
                  </w:pPr>
                  <w:r>
                    <w:rPr>
                      <w:rFonts w:hint="eastAsia"/>
                      <w:color w:val="000000"/>
                      <w:sz w:val="21"/>
                    </w:rPr>
                    <w:t>C</w:t>
                  </w:r>
                  <w:r>
                    <w:rPr>
                      <w:color w:val="000000"/>
                      <w:sz w:val="21"/>
                    </w:rPr>
                    <w:t>T</w:t>
                  </w:r>
                  <w:r>
                    <w:rPr>
                      <w:rFonts w:hint="eastAsia"/>
                      <w:color w:val="000000"/>
                      <w:sz w:val="21"/>
                    </w:rPr>
                    <w:t>机房内人员</w:t>
                  </w:r>
                </w:p>
              </w:tc>
              <w:tc>
                <w:tcPr>
                  <w:tcW w:w="850" w:type="dxa"/>
                  <w:tcBorders>
                    <w:top w:val="single" w:color="auto" w:sz="4" w:space="0"/>
                    <w:left w:val="single" w:color="auto" w:sz="4" w:space="0"/>
                    <w:right w:val="single" w:color="auto" w:sz="4" w:space="0"/>
                  </w:tcBorders>
                  <w:vAlign w:val="center"/>
                </w:tcPr>
                <w:p>
                  <w:pPr>
                    <w:snapToGrid w:val="0"/>
                    <w:jc w:val="center"/>
                    <w:rPr>
                      <w:color w:val="000000"/>
                      <w:sz w:val="21"/>
                    </w:rPr>
                  </w:pPr>
                  <w:r>
                    <w:rPr>
                      <w:rFonts w:hint="eastAsia"/>
                      <w:color w:val="000000"/>
                      <w:sz w:val="21"/>
                    </w:rPr>
                    <w:t>N</w:t>
                  </w:r>
                </w:p>
              </w:tc>
              <w:tc>
                <w:tcPr>
                  <w:tcW w:w="851" w:type="dxa"/>
                  <w:tcBorders>
                    <w:top w:val="single" w:color="auto" w:sz="4" w:space="0"/>
                    <w:left w:val="single" w:color="auto" w:sz="4" w:space="0"/>
                    <w:right w:val="single" w:color="auto" w:sz="4" w:space="0"/>
                  </w:tcBorders>
                  <w:vAlign w:val="center"/>
                </w:tcPr>
                <w:p>
                  <w:pPr>
                    <w:snapToGrid w:val="0"/>
                    <w:jc w:val="center"/>
                    <w:rPr>
                      <w:color w:val="000000"/>
                      <w:sz w:val="21"/>
                    </w:rPr>
                  </w:pPr>
                  <w:r>
                    <w:rPr>
                      <w:rFonts w:hint="eastAsia"/>
                      <w:color w:val="000000"/>
                      <w:sz w:val="21"/>
                    </w:rPr>
                    <w:t>0</w:t>
                  </w:r>
                  <w:r>
                    <w:rPr>
                      <w:color w:val="000000"/>
                      <w:sz w:val="21"/>
                    </w:rPr>
                    <w:t>.3</w:t>
                  </w:r>
                </w:p>
              </w:tc>
              <w:tc>
                <w:tcPr>
                  <w:tcW w:w="1141" w:type="dxa"/>
                  <w:tcBorders>
                    <w:top w:val="single" w:color="auto" w:sz="4" w:space="0"/>
                    <w:left w:val="single" w:color="auto" w:sz="4" w:space="0"/>
                    <w:right w:val="nil"/>
                  </w:tcBorders>
                  <w:vAlign w:val="center"/>
                </w:tcPr>
                <w:p>
                  <w:pPr>
                    <w:snapToGrid w:val="0"/>
                    <w:jc w:val="center"/>
                    <w:rPr>
                      <w:color w:val="000000"/>
                      <w:sz w:val="21"/>
                    </w:rPr>
                  </w:pPr>
                  <w:r>
                    <w:rPr>
                      <w:rFonts w:hint="eastAsia"/>
                      <w:color w:val="000000"/>
                      <w:sz w:val="21"/>
                    </w:rPr>
                    <w:t>约3人</w:t>
                  </w:r>
                </w:p>
              </w:tc>
              <w:tc>
                <w:tcPr>
                  <w:tcW w:w="1275" w:type="dxa"/>
                  <w:tcBorders>
                    <w:top w:val="single" w:color="auto" w:sz="4" w:space="0"/>
                    <w:left w:val="single" w:color="auto" w:sz="4" w:space="0"/>
                    <w:right w:val="nil"/>
                  </w:tcBorders>
                  <w:vAlign w:val="center"/>
                </w:tcPr>
                <w:p>
                  <w:pPr>
                    <w:snapToGrid w:val="0"/>
                    <w:jc w:val="center"/>
                    <w:rPr>
                      <w:color w:val="000000"/>
                      <w:sz w:val="21"/>
                    </w:rPr>
                  </w:pPr>
                  <w:r>
                    <w:rPr>
                      <w:rFonts w:hint="eastAsia"/>
                      <w:color w:val="000000"/>
                      <w:sz w:val="21"/>
                    </w:rPr>
                    <w:t>0</w:t>
                  </w:r>
                  <w:r>
                    <w:rPr>
                      <w:color w:val="000000"/>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3" w:type="dxa"/>
                  <w:vMerge w:val="continue"/>
                  <w:tcBorders>
                    <w:left w:val="nil"/>
                    <w:right w:val="single" w:color="auto" w:sz="4" w:space="0"/>
                  </w:tcBorders>
                  <w:vAlign w:val="center"/>
                </w:tcPr>
                <w:p>
                  <w:pPr>
                    <w:snapToGrid w:val="0"/>
                    <w:jc w:val="center"/>
                    <w:rPr>
                      <w:color w:val="000000"/>
                      <w:sz w:val="21"/>
                    </w:rPr>
                  </w:pPr>
                </w:p>
              </w:tc>
              <w:tc>
                <w:tcPr>
                  <w:tcW w:w="850" w:type="dxa"/>
                  <w:vMerge w:val="continue"/>
                  <w:tcBorders>
                    <w:top w:val="single" w:color="auto" w:sz="4" w:space="0"/>
                    <w:left w:val="single" w:color="auto" w:sz="4" w:space="0"/>
                    <w:right w:val="single" w:color="auto" w:sz="4" w:space="0"/>
                  </w:tcBorders>
                  <w:vAlign w:val="center"/>
                </w:tcPr>
                <w:p>
                  <w:pPr>
                    <w:snapToGrid w:val="0"/>
                    <w:jc w:val="center"/>
                    <w:rPr>
                      <w:color w:val="000000"/>
                      <w:sz w:val="21"/>
                    </w:rPr>
                  </w:pPr>
                </w:p>
              </w:tc>
              <w:tc>
                <w:tcPr>
                  <w:tcW w:w="2694" w:type="dxa"/>
                  <w:tcBorders>
                    <w:top w:val="single" w:color="auto" w:sz="4" w:space="0"/>
                    <w:left w:val="single" w:color="auto" w:sz="4" w:space="0"/>
                    <w:right w:val="single" w:color="auto" w:sz="4" w:space="0"/>
                  </w:tcBorders>
                  <w:vAlign w:val="center"/>
                </w:tcPr>
                <w:p>
                  <w:pPr>
                    <w:snapToGrid w:val="0"/>
                    <w:rPr>
                      <w:color w:val="000000"/>
                      <w:sz w:val="21"/>
                    </w:rPr>
                  </w:pPr>
                  <w:r>
                    <w:rPr>
                      <w:rFonts w:hint="eastAsia"/>
                      <w:color w:val="000000"/>
                      <w:sz w:val="21"/>
                    </w:rPr>
                    <w:t>走廊内人员</w:t>
                  </w:r>
                </w:p>
              </w:tc>
              <w:tc>
                <w:tcPr>
                  <w:tcW w:w="850" w:type="dxa"/>
                  <w:tcBorders>
                    <w:top w:val="single" w:color="auto" w:sz="4" w:space="0"/>
                    <w:left w:val="single" w:color="auto" w:sz="4" w:space="0"/>
                    <w:right w:val="single" w:color="auto" w:sz="4" w:space="0"/>
                  </w:tcBorders>
                  <w:vAlign w:val="center"/>
                </w:tcPr>
                <w:p>
                  <w:pPr>
                    <w:snapToGrid w:val="0"/>
                    <w:jc w:val="center"/>
                    <w:rPr>
                      <w:color w:val="000000"/>
                      <w:sz w:val="21"/>
                    </w:rPr>
                  </w:pPr>
                  <w:r>
                    <w:rPr>
                      <w:rFonts w:hint="eastAsia"/>
                      <w:color w:val="000000"/>
                      <w:sz w:val="21"/>
                    </w:rPr>
                    <w:t>S</w:t>
                  </w:r>
                </w:p>
              </w:tc>
              <w:tc>
                <w:tcPr>
                  <w:tcW w:w="851" w:type="dxa"/>
                  <w:tcBorders>
                    <w:top w:val="single" w:color="auto" w:sz="4" w:space="0"/>
                    <w:left w:val="single" w:color="auto" w:sz="4" w:space="0"/>
                    <w:right w:val="single" w:color="auto" w:sz="4" w:space="0"/>
                  </w:tcBorders>
                  <w:vAlign w:val="center"/>
                </w:tcPr>
                <w:p>
                  <w:pPr>
                    <w:snapToGrid w:val="0"/>
                    <w:jc w:val="center"/>
                    <w:rPr>
                      <w:color w:val="000000"/>
                      <w:sz w:val="21"/>
                    </w:rPr>
                  </w:pPr>
                  <w:r>
                    <w:rPr>
                      <w:rFonts w:hint="eastAsia"/>
                      <w:color w:val="000000"/>
                      <w:sz w:val="21"/>
                    </w:rPr>
                    <w:t>0</w:t>
                  </w:r>
                  <w:r>
                    <w:rPr>
                      <w:color w:val="000000"/>
                      <w:sz w:val="21"/>
                    </w:rPr>
                    <w:t>.3</w:t>
                  </w:r>
                </w:p>
              </w:tc>
              <w:tc>
                <w:tcPr>
                  <w:tcW w:w="1141" w:type="dxa"/>
                  <w:tcBorders>
                    <w:top w:val="single" w:color="auto" w:sz="4" w:space="0"/>
                    <w:left w:val="single" w:color="auto" w:sz="4" w:space="0"/>
                    <w:right w:val="nil"/>
                  </w:tcBorders>
                  <w:vAlign w:val="center"/>
                </w:tcPr>
                <w:p>
                  <w:pPr>
                    <w:snapToGrid w:val="0"/>
                    <w:jc w:val="center"/>
                    <w:rPr>
                      <w:color w:val="000000"/>
                      <w:sz w:val="21"/>
                    </w:rPr>
                  </w:pPr>
                  <w:r>
                    <w:rPr>
                      <w:rFonts w:hint="eastAsia"/>
                      <w:color w:val="000000"/>
                      <w:sz w:val="21"/>
                    </w:rPr>
                    <w:t>流动人员</w:t>
                  </w:r>
                </w:p>
              </w:tc>
              <w:tc>
                <w:tcPr>
                  <w:tcW w:w="1275" w:type="dxa"/>
                  <w:tcBorders>
                    <w:top w:val="single" w:color="auto" w:sz="4" w:space="0"/>
                    <w:left w:val="single" w:color="auto" w:sz="4" w:space="0"/>
                    <w:right w:val="nil"/>
                  </w:tcBorders>
                  <w:vAlign w:val="center"/>
                </w:tcPr>
                <w:p>
                  <w:pPr>
                    <w:snapToGrid w:val="0"/>
                    <w:jc w:val="center"/>
                    <w:rPr>
                      <w:color w:val="000000"/>
                      <w:sz w:val="21"/>
                    </w:rPr>
                  </w:pPr>
                  <w:r>
                    <w:rPr>
                      <w:rFonts w:hint="eastAsia"/>
                      <w:color w:val="000000"/>
                      <w:sz w:val="21"/>
                    </w:rPr>
                    <w:t>0</w:t>
                  </w:r>
                  <w:r>
                    <w:rPr>
                      <w:color w:val="000000"/>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703" w:type="dxa"/>
                  <w:vMerge w:val="continue"/>
                  <w:tcBorders>
                    <w:left w:val="nil"/>
                    <w:right w:val="single" w:color="auto" w:sz="4" w:space="0"/>
                  </w:tcBorders>
                  <w:vAlign w:val="center"/>
                </w:tcPr>
                <w:p>
                  <w:pPr>
                    <w:snapToGrid w:val="0"/>
                    <w:jc w:val="center"/>
                    <w:rPr>
                      <w:color w:val="000000"/>
                      <w:sz w:val="21"/>
                    </w:rPr>
                  </w:pPr>
                </w:p>
              </w:tc>
              <w:tc>
                <w:tcPr>
                  <w:tcW w:w="850" w:type="dxa"/>
                  <w:vMerge w:val="continue"/>
                  <w:tcBorders>
                    <w:top w:val="single" w:color="auto" w:sz="4" w:space="0"/>
                    <w:left w:val="single" w:color="auto" w:sz="4" w:space="0"/>
                    <w:right w:val="single" w:color="auto" w:sz="4" w:space="0"/>
                  </w:tcBorders>
                  <w:vAlign w:val="center"/>
                </w:tcPr>
                <w:p>
                  <w:pPr>
                    <w:snapToGrid w:val="0"/>
                    <w:jc w:val="center"/>
                    <w:rPr>
                      <w:color w:val="000000"/>
                      <w:sz w:val="21"/>
                    </w:rPr>
                  </w:pPr>
                </w:p>
              </w:tc>
              <w:tc>
                <w:tcPr>
                  <w:tcW w:w="2694" w:type="dxa"/>
                  <w:tcBorders>
                    <w:top w:val="single" w:color="auto" w:sz="4" w:space="0"/>
                    <w:left w:val="single" w:color="auto" w:sz="4" w:space="0"/>
                    <w:right w:val="single" w:color="auto" w:sz="4" w:space="0"/>
                  </w:tcBorders>
                  <w:vAlign w:val="center"/>
                </w:tcPr>
                <w:p>
                  <w:pPr>
                    <w:snapToGrid w:val="0"/>
                    <w:rPr>
                      <w:color w:val="000000"/>
                      <w:sz w:val="21"/>
                    </w:rPr>
                  </w:pPr>
                  <w:r>
                    <w:rPr>
                      <w:rFonts w:hint="eastAsia"/>
                      <w:color w:val="000000"/>
                      <w:sz w:val="21"/>
                    </w:rPr>
                    <w:t>谈话间、医护办内人员</w:t>
                  </w:r>
                </w:p>
              </w:tc>
              <w:tc>
                <w:tcPr>
                  <w:tcW w:w="850" w:type="dxa"/>
                  <w:tcBorders>
                    <w:top w:val="single" w:color="auto" w:sz="4" w:space="0"/>
                    <w:left w:val="single" w:color="auto" w:sz="4" w:space="0"/>
                    <w:right w:val="single" w:color="auto" w:sz="4" w:space="0"/>
                  </w:tcBorders>
                  <w:vAlign w:val="center"/>
                </w:tcPr>
                <w:p>
                  <w:pPr>
                    <w:snapToGrid w:val="0"/>
                    <w:jc w:val="center"/>
                    <w:rPr>
                      <w:color w:val="000000"/>
                      <w:sz w:val="21"/>
                    </w:rPr>
                  </w:pPr>
                  <w:r>
                    <w:rPr>
                      <w:rFonts w:hint="eastAsia"/>
                      <w:color w:val="000000"/>
                      <w:sz w:val="21"/>
                    </w:rPr>
                    <w:t>N</w:t>
                  </w:r>
                </w:p>
              </w:tc>
              <w:tc>
                <w:tcPr>
                  <w:tcW w:w="851" w:type="dxa"/>
                  <w:tcBorders>
                    <w:top w:val="single" w:color="auto" w:sz="4" w:space="0"/>
                    <w:left w:val="single" w:color="auto" w:sz="4" w:space="0"/>
                    <w:right w:val="single" w:color="auto" w:sz="4" w:space="0"/>
                  </w:tcBorders>
                  <w:vAlign w:val="center"/>
                </w:tcPr>
                <w:p>
                  <w:pPr>
                    <w:snapToGrid w:val="0"/>
                    <w:jc w:val="center"/>
                    <w:rPr>
                      <w:color w:val="000000"/>
                      <w:sz w:val="21"/>
                    </w:rPr>
                  </w:pPr>
                  <w:r>
                    <w:rPr>
                      <w:rFonts w:hint="eastAsia"/>
                      <w:color w:val="000000"/>
                      <w:sz w:val="21"/>
                    </w:rPr>
                    <w:t>0</w:t>
                  </w:r>
                  <w:r>
                    <w:rPr>
                      <w:color w:val="000000"/>
                      <w:sz w:val="21"/>
                    </w:rPr>
                    <w:t>.3</w:t>
                  </w:r>
                </w:p>
              </w:tc>
              <w:tc>
                <w:tcPr>
                  <w:tcW w:w="1141" w:type="dxa"/>
                  <w:tcBorders>
                    <w:top w:val="single" w:color="auto" w:sz="4" w:space="0"/>
                    <w:left w:val="single" w:color="auto" w:sz="4" w:space="0"/>
                    <w:right w:val="nil"/>
                  </w:tcBorders>
                  <w:vAlign w:val="center"/>
                </w:tcPr>
                <w:p>
                  <w:pPr>
                    <w:snapToGrid w:val="0"/>
                    <w:jc w:val="center"/>
                    <w:rPr>
                      <w:color w:val="000000"/>
                      <w:sz w:val="21"/>
                    </w:rPr>
                  </w:pPr>
                  <w:r>
                    <w:rPr>
                      <w:rFonts w:hint="eastAsia"/>
                      <w:color w:val="000000"/>
                      <w:sz w:val="21"/>
                    </w:rPr>
                    <w:t>约</w:t>
                  </w:r>
                  <w:r>
                    <w:rPr>
                      <w:color w:val="000000"/>
                      <w:sz w:val="21"/>
                    </w:rPr>
                    <w:t>4</w:t>
                  </w:r>
                  <w:r>
                    <w:rPr>
                      <w:rFonts w:hint="eastAsia"/>
                      <w:color w:val="000000"/>
                      <w:sz w:val="21"/>
                    </w:rPr>
                    <w:t>人</w:t>
                  </w:r>
                </w:p>
              </w:tc>
              <w:tc>
                <w:tcPr>
                  <w:tcW w:w="1275" w:type="dxa"/>
                  <w:tcBorders>
                    <w:top w:val="single" w:color="auto" w:sz="4" w:space="0"/>
                    <w:left w:val="single" w:color="auto" w:sz="4" w:space="0"/>
                    <w:right w:val="nil"/>
                  </w:tcBorders>
                  <w:vAlign w:val="center"/>
                </w:tcPr>
                <w:p>
                  <w:pPr>
                    <w:snapToGrid w:val="0"/>
                    <w:jc w:val="center"/>
                    <w:rPr>
                      <w:color w:val="000000"/>
                      <w:sz w:val="21"/>
                    </w:rPr>
                  </w:pPr>
                  <w:r>
                    <w:rPr>
                      <w:rFonts w:hint="eastAsia"/>
                      <w:color w:val="000000"/>
                      <w:sz w:val="21"/>
                    </w:rPr>
                    <w:t>0</w:t>
                  </w:r>
                  <w:r>
                    <w:rPr>
                      <w:color w:val="000000"/>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3" w:type="dxa"/>
                  <w:vMerge w:val="continue"/>
                  <w:tcBorders>
                    <w:left w:val="nil"/>
                    <w:right w:val="single" w:color="auto" w:sz="4" w:space="0"/>
                  </w:tcBorders>
                  <w:vAlign w:val="center"/>
                </w:tcPr>
                <w:p>
                  <w:pPr>
                    <w:snapToGrid w:val="0"/>
                    <w:jc w:val="center"/>
                    <w:rPr>
                      <w:color w:val="000000"/>
                      <w:sz w:val="21"/>
                    </w:rPr>
                  </w:pPr>
                </w:p>
              </w:tc>
              <w:tc>
                <w:tcPr>
                  <w:tcW w:w="850" w:type="dxa"/>
                  <w:vMerge w:val="continue"/>
                  <w:tcBorders>
                    <w:top w:val="single" w:color="auto" w:sz="4" w:space="0"/>
                    <w:left w:val="single" w:color="auto" w:sz="4" w:space="0"/>
                    <w:right w:val="single" w:color="auto" w:sz="4" w:space="0"/>
                  </w:tcBorders>
                  <w:vAlign w:val="center"/>
                </w:tcPr>
                <w:p>
                  <w:pPr>
                    <w:snapToGrid w:val="0"/>
                    <w:jc w:val="center"/>
                    <w:rPr>
                      <w:color w:val="000000"/>
                      <w:sz w:val="21"/>
                    </w:rPr>
                  </w:pPr>
                </w:p>
              </w:tc>
              <w:tc>
                <w:tcPr>
                  <w:tcW w:w="2694" w:type="dxa"/>
                  <w:tcBorders>
                    <w:top w:val="single" w:color="auto" w:sz="4" w:space="0"/>
                    <w:left w:val="single" w:color="auto" w:sz="4" w:space="0"/>
                    <w:right w:val="single" w:color="auto" w:sz="4" w:space="0"/>
                  </w:tcBorders>
                </w:tcPr>
                <w:p>
                  <w:pPr>
                    <w:snapToGrid w:val="0"/>
                    <w:rPr>
                      <w:color w:val="000000" w:themeColor="text1"/>
                      <w:sz w:val="21"/>
                      <w14:textFill>
                        <w14:solidFill>
                          <w14:schemeClr w14:val="tx1"/>
                        </w14:solidFill>
                      </w14:textFill>
                    </w:rPr>
                  </w:pPr>
                  <w:r>
                    <w:rPr>
                      <w:color w:val="000000" w:themeColor="text1"/>
                      <w:sz w:val="21"/>
                      <w14:textFill>
                        <w14:solidFill>
                          <w14:schemeClr w14:val="tx1"/>
                        </w14:solidFill>
                      </w14:textFill>
                    </w:rPr>
                    <w:t>DSA手术室楼上</w:t>
                  </w:r>
                  <w:r>
                    <w:rPr>
                      <w:rFonts w:hint="eastAsia"/>
                      <w:color w:val="000000" w:themeColor="text1"/>
                      <w:sz w:val="21"/>
                      <w14:textFill>
                        <w14:solidFill>
                          <w14:schemeClr w14:val="tx1"/>
                        </w14:solidFill>
                      </w14:textFill>
                    </w:rPr>
                    <w:t>办公室</w:t>
                  </w:r>
                  <w:r>
                    <w:rPr>
                      <w:color w:val="000000" w:themeColor="text1"/>
                      <w:sz w:val="21"/>
                      <w14:textFill>
                        <w14:solidFill>
                          <w14:schemeClr w14:val="tx1"/>
                        </w14:solidFill>
                      </w14:textFill>
                    </w:rPr>
                    <w:t>停留人员</w:t>
                  </w:r>
                </w:p>
              </w:tc>
              <w:tc>
                <w:tcPr>
                  <w:tcW w:w="850" w:type="dxa"/>
                  <w:tcBorders>
                    <w:top w:val="single" w:color="auto" w:sz="4" w:space="0"/>
                    <w:left w:val="single" w:color="auto" w:sz="4" w:space="0"/>
                    <w:right w:val="single" w:color="auto" w:sz="4" w:space="0"/>
                  </w:tcBorders>
                  <w:vAlign w:val="center"/>
                </w:tcPr>
                <w:p>
                  <w:pPr>
                    <w:snapToGrid w:val="0"/>
                    <w:jc w:val="center"/>
                    <w:rPr>
                      <w:color w:val="000000"/>
                      <w:sz w:val="21"/>
                    </w:rPr>
                  </w:pPr>
                  <w:r>
                    <w:rPr>
                      <w:color w:val="000000"/>
                      <w:sz w:val="21"/>
                    </w:rPr>
                    <w:t>楼上</w:t>
                  </w:r>
                </w:p>
              </w:tc>
              <w:tc>
                <w:tcPr>
                  <w:tcW w:w="851" w:type="dxa"/>
                  <w:tcBorders>
                    <w:top w:val="single" w:color="auto" w:sz="4" w:space="0"/>
                    <w:left w:val="single" w:color="auto" w:sz="4" w:space="0"/>
                    <w:right w:val="single" w:color="auto" w:sz="4" w:space="0"/>
                  </w:tcBorders>
                  <w:vAlign w:val="center"/>
                </w:tcPr>
                <w:p>
                  <w:pPr>
                    <w:snapToGrid w:val="0"/>
                    <w:jc w:val="center"/>
                    <w:rPr>
                      <w:color w:val="000000"/>
                      <w:sz w:val="21"/>
                    </w:rPr>
                  </w:pPr>
                  <w:r>
                    <w:rPr>
                      <w:color w:val="000000"/>
                      <w:sz w:val="21"/>
                    </w:rPr>
                    <w:t>1.0</w:t>
                  </w:r>
                </w:p>
              </w:tc>
              <w:tc>
                <w:tcPr>
                  <w:tcW w:w="1141" w:type="dxa"/>
                  <w:tcBorders>
                    <w:top w:val="single" w:color="auto" w:sz="4" w:space="0"/>
                    <w:left w:val="single" w:color="auto" w:sz="4" w:space="0"/>
                    <w:right w:val="nil"/>
                  </w:tcBorders>
                  <w:vAlign w:val="center"/>
                </w:tcPr>
                <w:p>
                  <w:pPr>
                    <w:snapToGrid w:val="0"/>
                    <w:jc w:val="center"/>
                    <w:rPr>
                      <w:color w:val="000000"/>
                      <w:sz w:val="21"/>
                    </w:rPr>
                  </w:pPr>
                  <w:r>
                    <w:rPr>
                      <w:rFonts w:hint="eastAsia"/>
                      <w:color w:val="000000"/>
                      <w:sz w:val="21"/>
                    </w:rPr>
                    <w:t>约2人</w:t>
                  </w:r>
                </w:p>
              </w:tc>
              <w:tc>
                <w:tcPr>
                  <w:tcW w:w="1275" w:type="dxa"/>
                  <w:tcBorders>
                    <w:top w:val="single" w:color="auto" w:sz="4" w:space="0"/>
                    <w:left w:val="single" w:color="auto" w:sz="4" w:space="0"/>
                    <w:right w:val="nil"/>
                  </w:tcBorders>
                  <w:vAlign w:val="center"/>
                </w:tcPr>
                <w:p>
                  <w:pPr>
                    <w:snapToGrid w:val="0"/>
                    <w:jc w:val="center"/>
                    <w:rPr>
                      <w:color w:val="000000"/>
                      <w:sz w:val="21"/>
                    </w:rPr>
                  </w:pPr>
                  <w:r>
                    <w:rPr>
                      <w:color w:val="000000"/>
                      <w:sz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3" w:type="dxa"/>
                  <w:vMerge w:val="continue"/>
                  <w:tcBorders>
                    <w:left w:val="nil"/>
                    <w:right w:val="single" w:color="auto" w:sz="4" w:space="0"/>
                  </w:tcBorders>
                  <w:vAlign w:val="center"/>
                </w:tcPr>
                <w:p>
                  <w:pPr>
                    <w:snapToGrid w:val="0"/>
                    <w:jc w:val="center"/>
                    <w:rPr>
                      <w:color w:val="000000"/>
                      <w:sz w:val="21"/>
                    </w:rPr>
                  </w:pPr>
                </w:p>
              </w:tc>
              <w:tc>
                <w:tcPr>
                  <w:tcW w:w="850" w:type="dxa"/>
                  <w:vMerge w:val="continue"/>
                  <w:tcBorders>
                    <w:top w:val="single" w:color="auto" w:sz="4" w:space="0"/>
                    <w:left w:val="single" w:color="auto" w:sz="4" w:space="0"/>
                    <w:right w:val="single" w:color="auto" w:sz="4" w:space="0"/>
                  </w:tcBorders>
                  <w:vAlign w:val="center"/>
                </w:tcPr>
                <w:p>
                  <w:pPr>
                    <w:snapToGrid w:val="0"/>
                    <w:jc w:val="center"/>
                    <w:rPr>
                      <w:color w:val="000000"/>
                      <w:sz w:val="21"/>
                    </w:rPr>
                  </w:pPr>
                </w:p>
              </w:tc>
              <w:tc>
                <w:tcPr>
                  <w:tcW w:w="2694" w:type="dxa"/>
                  <w:tcBorders>
                    <w:top w:val="single" w:color="auto" w:sz="4" w:space="0"/>
                    <w:left w:val="single" w:color="auto" w:sz="4" w:space="0"/>
                    <w:right w:val="single" w:color="auto" w:sz="4" w:space="0"/>
                  </w:tcBorders>
                  <w:vAlign w:val="center"/>
                </w:tcPr>
                <w:p>
                  <w:pPr>
                    <w:snapToGrid w:val="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住院部、门诊部</w:t>
                  </w:r>
                  <w:r>
                    <w:rPr>
                      <w:color w:val="000000" w:themeColor="text1"/>
                      <w:sz w:val="21"/>
                      <w14:textFill>
                        <w14:solidFill>
                          <w14:schemeClr w14:val="tx1"/>
                        </w14:solidFill>
                      </w14:textFill>
                    </w:rPr>
                    <w:t>内就诊患者（不含放射诊断患者）</w:t>
                  </w:r>
                  <w:r>
                    <w:rPr>
                      <w:rFonts w:hint="eastAsia"/>
                      <w:color w:val="000000" w:themeColor="text1"/>
                      <w:sz w:val="21"/>
                      <w14:textFill>
                        <w14:solidFill>
                          <w14:schemeClr w14:val="tx1"/>
                        </w14:solidFill>
                      </w14:textFill>
                    </w:rPr>
                    <w:t>、家属</w:t>
                  </w:r>
                  <w:r>
                    <w:rPr>
                      <w:color w:val="000000" w:themeColor="text1"/>
                      <w:sz w:val="21"/>
                      <w14:textFill>
                        <w14:solidFill>
                          <w14:schemeClr w14:val="tx1"/>
                        </w14:solidFill>
                      </w14:textFill>
                    </w:rPr>
                    <w:t>和其它</w:t>
                  </w:r>
                  <w:r>
                    <w:rPr>
                      <w:rFonts w:hint="eastAsia"/>
                      <w:color w:val="000000" w:themeColor="text1"/>
                      <w:sz w:val="21"/>
                      <w14:textFill>
                        <w14:solidFill>
                          <w14:schemeClr w14:val="tx1"/>
                        </w14:solidFill>
                      </w14:textFill>
                    </w:rPr>
                    <w:t>工作</w:t>
                  </w:r>
                  <w:r>
                    <w:rPr>
                      <w:color w:val="000000" w:themeColor="text1"/>
                      <w:sz w:val="21"/>
                      <w14:textFill>
                        <w14:solidFill>
                          <w14:schemeClr w14:val="tx1"/>
                        </w14:solidFill>
                      </w14:textFill>
                    </w:rPr>
                    <w:t>人员</w:t>
                  </w:r>
                  <w:r>
                    <w:rPr>
                      <w:rFonts w:hint="eastAsia"/>
                      <w:color w:val="000000" w:themeColor="text1"/>
                      <w:sz w:val="21"/>
                      <w:szCs w:val="21"/>
                      <w14:textFill>
                        <w14:solidFill>
                          <w14:schemeClr w14:val="tx1"/>
                        </w14:solidFill>
                      </w14:textFill>
                    </w:rPr>
                    <w:t>（除医院其他放射性工作人员外）</w:t>
                  </w:r>
                </w:p>
              </w:tc>
              <w:tc>
                <w:tcPr>
                  <w:tcW w:w="850" w:type="dxa"/>
                  <w:tcBorders>
                    <w:top w:val="single" w:color="auto" w:sz="4" w:space="0"/>
                    <w:left w:val="single" w:color="auto" w:sz="4" w:space="0"/>
                    <w:right w:val="single" w:color="auto" w:sz="4" w:space="0"/>
                  </w:tcBorders>
                  <w:vAlign w:val="center"/>
                </w:tcPr>
                <w:p>
                  <w:pPr>
                    <w:snapToGrid w:val="0"/>
                    <w:jc w:val="center"/>
                    <w:rPr>
                      <w:color w:val="000000"/>
                      <w:sz w:val="21"/>
                    </w:rPr>
                  </w:pPr>
                  <w:r>
                    <w:rPr>
                      <w:color w:val="000000"/>
                      <w:sz w:val="21"/>
                    </w:rPr>
                    <w:t>/</w:t>
                  </w:r>
                </w:p>
              </w:tc>
              <w:tc>
                <w:tcPr>
                  <w:tcW w:w="851" w:type="dxa"/>
                  <w:tcBorders>
                    <w:top w:val="single" w:color="auto" w:sz="4" w:space="0"/>
                    <w:left w:val="single" w:color="auto" w:sz="4" w:space="0"/>
                    <w:right w:val="single" w:color="auto" w:sz="4" w:space="0"/>
                  </w:tcBorders>
                  <w:vAlign w:val="center"/>
                </w:tcPr>
                <w:p>
                  <w:pPr>
                    <w:snapToGrid w:val="0"/>
                    <w:jc w:val="center"/>
                    <w:rPr>
                      <w:color w:val="000000"/>
                      <w:sz w:val="21"/>
                    </w:rPr>
                  </w:pPr>
                  <w:r>
                    <w:rPr>
                      <w:color w:val="000000"/>
                      <w:sz w:val="21"/>
                    </w:rPr>
                    <w:t>50m范围内</w:t>
                  </w:r>
                </w:p>
              </w:tc>
              <w:tc>
                <w:tcPr>
                  <w:tcW w:w="1141" w:type="dxa"/>
                  <w:tcBorders>
                    <w:top w:val="single" w:color="auto" w:sz="4" w:space="0"/>
                    <w:left w:val="single" w:color="auto" w:sz="4" w:space="0"/>
                    <w:right w:val="nil"/>
                  </w:tcBorders>
                  <w:vAlign w:val="center"/>
                </w:tcPr>
                <w:p>
                  <w:pPr>
                    <w:snapToGrid w:val="0"/>
                    <w:jc w:val="center"/>
                    <w:rPr>
                      <w:color w:val="000000"/>
                      <w:sz w:val="21"/>
                    </w:rPr>
                  </w:pPr>
                  <w:r>
                    <w:rPr>
                      <w:color w:val="000000"/>
                      <w:sz w:val="21"/>
                    </w:rPr>
                    <w:t>约250人</w:t>
                  </w:r>
                </w:p>
              </w:tc>
              <w:tc>
                <w:tcPr>
                  <w:tcW w:w="1275" w:type="dxa"/>
                  <w:tcBorders>
                    <w:top w:val="single" w:color="auto" w:sz="4" w:space="0"/>
                    <w:left w:val="single" w:color="auto" w:sz="4" w:space="0"/>
                    <w:right w:val="nil"/>
                  </w:tcBorders>
                  <w:vAlign w:val="center"/>
                </w:tcPr>
                <w:p>
                  <w:pPr>
                    <w:snapToGrid w:val="0"/>
                    <w:jc w:val="center"/>
                    <w:rPr>
                      <w:color w:val="000000"/>
                      <w:sz w:val="21"/>
                    </w:rPr>
                  </w:pPr>
                  <w:r>
                    <w:rPr>
                      <w:color w:val="000000"/>
                      <w:sz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3" w:type="dxa"/>
                  <w:vMerge w:val="continue"/>
                  <w:tcBorders>
                    <w:left w:val="nil"/>
                    <w:bottom w:val="single" w:color="auto" w:sz="12" w:space="0"/>
                    <w:right w:val="single" w:color="auto" w:sz="4" w:space="0"/>
                  </w:tcBorders>
                  <w:vAlign w:val="center"/>
                </w:tcPr>
                <w:p>
                  <w:pPr>
                    <w:snapToGrid w:val="0"/>
                    <w:jc w:val="center"/>
                    <w:rPr>
                      <w:color w:val="000000"/>
                      <w:sz w:val="21"/>
                    </w:rPr>
                  </w:pPr>
                </w:p>
              </w:tc>
              <w:tc>
                <w:tcPr>
                  <w:tcW w:w="850" w:type="dxa"/>
                  <w:vMerge w:val="continue"/>
                  <w:tcBorders>
                    <w:top w:val="single" w:color="auto" w:sz="4" w:space="0"/>
                    <w:left w:val="single" w:color="auto" w:sz="4" w:space="0"/>
                    <w:bottom w:val="single" w:color="auto" w:sz="12" w:space="0"/>
                    <w:right w:val="single" w:color="auto" w:sz="4" w:space="0"/>
                  </w:tcBorders>
                  <w:vAlign w:val="center"/>
                </w:tcPr>
                <w:p>
                  <w:pPr>
                    <w:snapToGrid w:val="0"/>
                    <w:jc w:val="center"/>
                    <w:rPr>
                      <w:color w:val="000000"/>
                      <w:sz w:val="21"/>
                    </w:rPr>
                  </w:pPr>
                </w:p>
              </w:tc>
              <w:tc>
                <w:tcPr>
                  <w:tcW w:w="2694" w:type="dxa"/>
                  <w:tcBorders>
                    <w:top w:val="single" w:color="auto" w:sz="4" w:space="0"/>
                    <w:left w:val="single" w:color="auto" w:sz="4" w:space="0"/>
                    <w:bottom w:val="single" w:color="auto" w:sz="12" w:space="0"/>
                    <w:right w:val="single" w:color="auto" w:sz="4" w:space="0"/>
                  </w:tcBorders>
                  <w:vAlign w:val="center"/>
                </w:tcPr>
                <w:p>
                  <w:pPr>
                    <w:snapToGrid w:val="0"/>
                    <w:jc w:val="left"/>
                    <w:rPr>
                      <w:color w:val="000000"/>
                      <w:sz w:val="21"/>
                    </w:rPr>
                  </w:pPr>
                  <w:r>
                    <w:rPr>
                      <w:color w:val="000000"/>
                      <w:sz w:val="21"/>
                      <w:szCs w:val="21"/>
                    </w:rPr>
                    <w:t>DSA手术</w:t>
                  </w:r>
                  <w:r>
                    <w:rPr>
                      <w:rFonts w:hint="eastAsia"/>
                      <w:color w:val="000000"/>
                      <w:sz w:val="21"/>
                      <w:szCs w:val="21"/>
                    </w:rPr>
                    <w:t>室</w:t>
                  </w:r>
                  <w:r>
                    <w:rPr>
                      <w:color w:val="000000"/>
                      <w:sz w:val="21"/>
                      <w:szCs w:val="21"/>
                    </w:rPr>
                    <w:t>周边</w:t>
                  </w:r>
                  <w:r>
                    <w:rPr>
                      <w:rFonts w:hint="eastAsia"/>
                      <w:color w:val="000000"/>
                      <w:sz w:val="21"/>
                      <w:szCs w:val="21"/>
                    </w:rPr>
                    <w:t>环境</w:t>
                  </w:r>
                  <w:r>
                    <w:rPr>
                      <w:color w:val="000000"/>
                      <w:sz w:val="21"/>
                      <w:szCs w:val="21"/>
                    </w:rPr>
                    <w:t>50m范围内流动人员</w:t>
                  </w:r>
                </w:p>
              </w:tc>
              <w:tc>
                <w:tcPr>
                  <w:tcW w:w="850" w:type="dxa"/>
                  <w:tcBorders>
                    <w:top w:val="single" w:color="auto" w:sz="4" w:space="0"/>
                    <w:left w:val="single" w:color="auto" w:sz="4" w:space="0"/>
                    <w:bottom w:val="single" w:color="auto" w:sz="12" w:space="0"/>
                    <w:right w:val="single" w:color="auto" w:sz="4" w:space="0"/>
                  </w:tcBorders>
                  <w:vAlign w:val="center"/>
                </w:tcPr>
                <w:p>
                  <w:pPr>
                    <w:snapToGrid w:val="0"/>
                    <w:jc w:val="center"/>
                    <w:rPr>
                      <w:color w:val="000000"/>
                      <w:sz w:val="21"/>
                    </w:rPr>
                  </w:pPr>
                  <w:r>
                    <w:rPr>
                      <w:color w:val="000000"/>
                      <w:sz w:val="21"/>
                    </w:rPr>
                    <w:t>/</w:t>
                  </w:r>
                </w:p>
              </w:tc>
              <w:tc>
                <w:tcPr>
                  <w:tcW w:w="851" w:type="dxa"/>
                  <w:tcBorders>
                    <w:top w:val="single" w:color="auto" w:sz="4" w:space="0"/>
                    <w:left w:val="single" w:color="auto" w:sz="4" w:space="0"/>
                    <w:bottom w:val="single" w:color="auto" w:sz="12" w:space="0"/>
                    <w:right w:val="single" w:color="auto" w:sz="4" w:space="0"/>
                  </w:tcBorders>
                  <w:vAlign w:val="center"/>
                </w:tcPr>
                <w:p>
                  <w:pPr>
                    <w:snapToGrid w:val="0"/>
                    <w:jc w:val="center"/>
                    <w:rPr>
                      <w:color w:val="000000"/>
                      <w:sz w:val="21"/>
                    </w:rPr>
                  </w:pPr>
                  <w:r>
                    <w:rPr>
                      <w:color w:val="000000"/>
                      <w:sz w:val="21"/>
                    </w:rPr>
                    <w:t>50m范围内</w:t>
                  </w:r>
                </w:p>
              </w:tc>
              <w:tc>
                <w:tcPr>
                  <w:tcW w:w="1141" w:type="dxa"/>
                  <w:tcBorders>
                    <w:top w:val="single" w:color="auto" w:sz="4" w:space="0"/>
                    <w:left w:val="single" w:color="auto" w:sz="4" w:space="0"/>
                    <w:bottom w:val="single" w:color="auto" w:sz="12" w:space="0"/>
                    <w:right w:val="nil"/>
                  </w:tcBorders>
                  <w:vAlign w:val="center"/>
                </w:tcPr>
                <w:p>
                  <w:pPr>
                    <w:snapToGrid w:val="0"/>
                    <w:jc w:val="center"/>
                    <w:rPr>
                      <w:color w:val="000000"/>
                      <w:sz w:val="21"/>
                    </w:rPr>
                  </w:pPr>
                  <w:r>
                    <w:rPr>
                      <w:color w:val="000000"/>
                      <w:sz w:val="21"/>
                    </w:rPr>
                    <w:t>流动人员</w:t>
                  </w:r>
                </w:p>
              </w:tc>
              <w:tc>
                <w:tcPr>
                  <w:tcW w:w="1275" w:type="dxa"/>
                  <w:tcBorders>
                    <w:top w:val="single" w:color="auto" w:sz="4" w:space="0"/>
                    <w:left w:val="single" w:color="auto" w:sz="4" w:space="0"/>
                    <w:bottom w:val="single" w:color="auto" w:sz="12" w:space="0"/>
                    <w:right w:val="nil"/>
                  </w:tcBorders>
                  <w:vAlign w:val="center"/>
                </w:tcPr>
                <w:p>
                  <w:pPr>
                    <w:snapToGrid w:val="0"/>
                    <w:jc w:val="center"/>
                    <w:rPr>
                      <w:color w:val="000000"/>
                      <w:sz w:val="21"/>
                    </w:rPr>
                  </w:pPr>
                  <w:r>
                    <w:rPr>
                      <w:color w:val="000000"/>
                      <w:sz w:val="21"/>
                    </w:rPr>
                    <w:t>0.1</w:t>
                  </w:r>
                </w:p>
              </w:tc>
            </w:tr>
          </w:tbl>
          <w:p>
            <w:pPr>
              <w:snapToGrid w:val="0"/>
              <w:spacing w:line="240" w:lineRule="exact"/>
              <w:ind w:firstLine="360" w:firstLineChars="200"/>
              <w:jc w:val="left"/>
              <w:rPr>
                <w:bCs/>
                <w:color w:val="000000"/>
                <w:sz w:val="18"/>
                <w:szCs w:val="18"/>
              </w:rPr>
            </w:pPr>
            <w:r>
              <w:rPr>
                <w:bCs/>
                <w:color w:val="000000"/>
                <w:sz w:val="18"/>
                <w:szCs w:val="18"/>
              </w:rPr>
              <w:t>备注：表7-1中*表示工作人员操作位距射线装置的最近距离；其余距离为</w:t>
            </w:r>
            <w:r>
              <w:rPr>
                <w:rFonts w:hint="eastAsia"/>
                <w:bCs/>
                <w:color w:val="000000"/>
                <w:sz w:val="18"/>
                <w:szCs w:val="18"/>
              </w:rPr>
              <w:t>距</w:t>
            </w:r>
            <w:r>
              <w:rPr>
                <w:bCs/>
                <w:color w:val="000000"/>
                <w:sz w:val="18"/>
                <w:szCs w:val="18"/>
              </w:rPr>
              <w:t>DSA手术室屏蔽墙体</w:t>
            </w:r>
            <w:r>
              <w:rPr>
                <w:rFonts w:hint="eastAsia"/>
                <w:bCs/>
                <w:color w:val="000000"/>
                <w:sz w:val="18"/>
                <w:szCs w:val="18"/>
              </w:rPr>
              <w:t>表面</w:t>
            </w:r>
            <w:r>
              <w:rPr>
                <w:bCs/>
                <w:color w:val="000000"/>
                <w:sz w:val="18"/>
                <w:szCs w:val="18"/>
              </w:rPr>
              <w:t>距离。</w:t>
            </w:r>
          </w:p>
          <w:p>
            <w:pPr>
              <w:spacing w:after="120"/>
              <w:rPr>
                <w:b/>
                <w:bCs/>
                <w:color w:val="000000"/>
                <w:sz w:val="28"/>
                <w:szCs w:val="28"/>
              </w:rPr>
            </w:pPr>
            <w:r>
              <w:rPr>
                <w:b/>
                <w:bCs/>
                <w:color w:val="000000"/>
                <w:sz w:val="28"/>
                <w:szCs w:val="28"/>
              </w:rPr>
              <w:t xml:space="preserve">7.3 评价标准  </w:t>
            </w:r>
          </w:p>
          <w:p>
            <w:pPr>
              <w:spacing w:after="120"/>
              <w:ind w:firstLine="482"/>
              <w:rPr>
                <w:b/>
                <w:color w:val="000000"/>
              </w:rPr>
            </w:pPr>
            <w:r>
              <w:rPr>
                <w:b/>
                <w:color w:val="000000"/>
              </w:rPr>
              <w:t>7.3.1 《电离辐射防护与辐射源安全基本标准》（GB18871-2002）相关内容</w:t>
            </w:r>
          </w:p>
          <w:p>
            <w:pPr>
              <w:spacing w:after="120"/>
              <w:ind w:firstLine="480"/>
              <w:rPr>
                <w:color w:val="000000"/>
              </w:rPr>
            </w:pPr>
            <w:r>
              <w:rPr>
                <w:color w:val="000000"/>
              </w:rPr>
              <w:t>根据标准附录B1.1职业照射和B1.2公众照射，对人员受照剂量限值规定如下：</w:t>
            </w:r>
          </w:p>
          <w:p>
            <w:pPr>
              <w:spacing w:after="120"/>
              <w:ind w:firstLine="480"/>
              <w:rPr>
                <w:color w:val="000000"/>
              </w:rPr>
            </w:pPr>
            <w:r>
              <w:rPr>
                <w:color w:val="000000"/>
              </w:rPr>
              <w:t>B1.1.1.1 应对任何工作人员的职业照射水平进行控制，使之不超过下述限值：</w:t>
            </w:r>
          </w:p>
          <w:p>
            <w:pPr>
              <w:spacing w:after="120"/>
              <w:ind w:firstLine="480"/>
              <w:rPr>
                <w:color w:val="000000"/>
              </w:rPr>
            </w:pPr>
            <w:r>
              <w:rPr>
                <w:color w:val="000000"/>
              </w:rPr>
              <w:t>a)由审管部门决定的连续5年的年平均有效剂量(但不可作任何追溯性平均)，20mSv；</w:t>
            </w:r>
          </w:p>
          <w:p>
            <w:pPr>
              <w:spacing w:after="120"/>
              <w:ind w:firstLine="480"/>
              <w:rPr>
                <w:color w:val="000000"/>
              </w:rPr>
            </w:pPr>
            <w:r>
              <w:rPr>
                <w:color w:val="000000"/>
              </w:rPr>
              <w:t>b)任何一年中的有效剂量，50mSv。</w:t>
            </w:r>
          </w:p>
          <w:p>
            <w:pPr>
              <w:spacing w:after="120"/>
              <w:ind w:firstLine="480"/>
              <w:rPr>
                <w:color w:val="000000"/>
              </w:rPr>
            </w:pPr>
            <w:r>
              <w:rPr>
                <w:color w:val="000000"/>
              </w:rPr>
              <w:t>B1.2.1 实践使公众有关关键人群组的成员所受的平均剂量估计值不应超过下述限值：</w:t>
            </w:r>
          </w:p>
          <w:p>
            <w:pPr>
              <w:spacing w:after="120"/>
              <w:ind w:firstLine="480"/>
              <w:rPr>
                <w:color w:val="000000"/>
              </w:rPr>
            </w:pPr>
            <w:r>
              <w:rPr>
                <w:color w:val="000000"/>
              </w:rPr>
              <w:t>a)年有效剂量，1mSv；</w:t>
            </w:r>
          </w:p>
          <w:p>
            <w:pPr>
              <w:spacing w:after="120"/>
              <w:ind w:firstLine="480"/>
              <w:rPr>
                <w:color w:val="000000"/>
              </w:rPr>
            </w:pPr>
            <w:r>
              <w:rPr>
                <w:color w:val="000000"/>
              </w:rPr>
              <w:t>b)特殊情况下，如果5个连续年的年平均剂量不超过1mSv，则某一单一年份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1" w:hRule="atLeast"/>
          <w:jc w:val="center"/>
        </w:trPr>
        <w:tc>
          <w:tcPr>
            <w:tcW w:w="8641" w:type="dxa"/>
          </w:tcPr>
          <w:p>
            <w:pPr>
              <w:spacing w:after="120"/>
              <w:rPr>
                <w:color w:val="000000"/>
              </w:rPr>
            </w:pPr>
            <w:r>
              <w:rPr>
                <w:color w:val="000000"/>
              </w:rPr>
              <w:t>的有效剂量可提高到5mSv。</w:t>
            </w:r>
          </w:p>
          <w:p>
            <w:pPr>
              <w:spacing w:after="120"/>
              <w:ind w:firstLine="482"/>
              <w:rPr>
                <w:b/>
              </w:rPr>
            </w:pPr>
            <w:r>
              <w:rPr>
                <w:b/>
              </w:rPr>
              <w:t>7.3.</w:t>
            </w:r>
            <w:r>
              <w:rPr>
                <w:rFonts w:hint="eastAsia"/>
                <w:b/>
              </w:rPr>
              <w:t>2</w:t>
            </w:r>
            <w:r>
              <w:rPr>
                <w:b/>
              </w:rPr>
              <w:t>《放射诊断放射防护要求》（GBZ130-2020）</w:t>
            </w:r>
          </w:p>
          <w:p>
            <w:pPr>
              <w:autoSpaceDE w:val="0"/>
              <w:autoSpaceDN w:val="0"/>
              <w:adjustRightInd w:val="0"/>
              <w:spacing w:line="360" w:lineRule="auto"/>
              <w:ind w:firstLine="480" w:firstLineChars="200"/>
              <w:rPr>
                <w:color w:val="000000"/>
                <w:kern w:val="0"/>
              </w:rPr>
            </w:pPr>
            <w:r>
              <w:rPr>
                <w:color w:val="000000"/>
                <w:kern w:val="0"/>
              </w:rPr>
              <w:t>本标准适用于X射线影像诊断和介入放射学。</w:t>
            </w:r>
          </w:p>
          <w:p>
            <w:pPr>
              <w:autoSpaceDE w:val="0"/>
              <w:autoSpaceDN w:val="0"/>
              <w:adjustRightInd w:val="0"/>
              <w:spacing w:line="360" w:lineRule="auto"/>
              <w:ind w:firstLine="480" w:firstLineChars="200"/>
              <w:rPr>
                <w:color w:val="000000"/>
                <w:kern w:val="0"/>
              </w:rPr>
            </w:pPr>
            <w:r>
              <w:rPr>
                <w:color w:val="000000"/>
                <w:kern w:val="0"/>
              </w:rPr>
              <w:t>5 X射线设备防护性能的技术要求</w:t>
            </w:r>
          </w:p>
          <w:p>
            <w:pPr>
              <w:autoSpaceDE w:val="0"/>
              <w:autoSpaceDN w:val="0"/>
              <w:adjustRightInd w:val="0"/>
              <w:spacing w:line="360" w:lineRule="auto"/>
              <w:ind w:firstLine="480" w:firstLineChars="200"/>
              <w:rPr>
                <w:color w:val="000000"/>
                <w:kern w:val="0"/>
              </w:rPr>
            </w:pPr>
            <w:r>
              <w:rPr>
                <w:color w:val="000000"/>
                <w:kern w:val="0"/>
              </w:rPr>
              <w:t>5.1.1 X射线设备出线口上应安装限束系统（如限束器、光阑等）。</w:t>
            </w:r>
          </w:p>
          <w:p>
            <w:pPr>
              <w:autoSpaceDE w:val="0"/>
              <w:autoSpaceDN w:val="0"/>
              <w:adjustRightInd w:val="0"/>
              <w:spacing w:line="360" w:lineRule="auto"/>
              <w:ind w:firstLine="480" w:firstLineChars="200"/>
              <w:rPr>
                <w:color w:val="000000"/>
                <w:kern w:val="0"/>
              </w:rPr>
            </w:pPr>
            <w:r>
              <w:rPr>
                <w:color w:val="000000"/>
                <w:kern w:val="0"/>
              </w:rPr>
              <w:t>5.1.2 X射线管组件上应有清晰的焦点位置标志。</w:t>
            </w:r>
          </w:p>
          <w:p>
            <w:pPr>
              <w:autoSpaceDE w:val="0"/>
              <w:autoSpaceDN w:val="0"/>
              <w:adjustRightInd w:val="0"/>
              <w:spacing w:line="360" w:lineRule="auto"/>
              <w:ind w:firstLine="480" w:firstLineChars="200"/>
              <w:rPr>
                <w:color w:val="000000"/>
                <w:kern w:val="0"/>
              </w:rPr>
            </w:pPr>
            <w:r>
              <w:rPr>
                <w:color w:val="000000"/>
                <w:kern w:val="0"/>
              </w:rPr>
              <w:t>5.1.3 X射线管组件上应标明固有滤过，所有附加滤过片均应标明其材料和厚度。</w:t>
            </w:r>
          </w:p>
          <w:p>
            <w:pPr>
              <w:autoSpaceDE w:val="0"/>
              <w:autoSpaceDN w:val="0"/>
              <w:adjustRightInd w:val="0"/>
              <w:spacing w:line="360" w:lineRule="auto"/>
              <w:ind w:firstLine="480" w:firstLineChars="200"/>
              <w:rPr>
                <w:color w:val="000000"/>
                <w:kern w:val="0"/>
              </w:rPr>
            </w:pPr>
            <w:r>
              <w:rPr>
                <w:color w:val="000000"/>
                <w:kern w:val="0"/>
              </w:rPr>
              <w:t>5.2 透视用X射线设备防护性能的专用要求</w:t>
            </w:r>
          </w:p>
          <w:p>
            <w:pPr>
              <w:autoSpaceDE w:val="0"/>
              <w:autoSpaceDN w:val="0"/>
              <w:adjustRightInd w:val="0"/>
              <w:spacing w:line="360" w:lineRule="auto"/>
              <w:ind w:firstLine="480" w:firstLineChars="200"/>
              <w:jc w:val="left"/>
              <w:rPr>
                <w:color w:val="000000"/>
                <w:kern w:val="0"/>
              </w:rPr>
            </w:pPr>
            <w:r>
              <w:rPr>
                <w:color w:val="000000"/>
                <w:kern w:val="0"/>
              </w:rPr>
              <w:t>5.2.1 C形臂X射线设备的最小焦皮距应不小于20cm，其余透视用X射线设备的最小焦皮距应不小于30cm。</w:t>
            </w:r>
          </w:p>
          <w:p>
            <w:pPr>
              <w:autoSpaceDE w:val="0"/>
              <w:autoSpaceDN w:val="0"/>
              <w:adjustRightInd w:val="0"/>
              <w:spacing w:line="360" w:lineRule="auto"/>
              <w:ind w:firstLine="480" w:firstLineChars="200"/>
              <w:jc w:val="left"/>
              <w:rPr>
                <w:color w:val="000000"/>
                <w:kern w:val="0"/>
              </w:rPr>
            </w:pPr>
            <w:r>
              <w:rPr>
                <w:color w:val="000000"/>
                <w:kern w:val="0"/>
              </w:rPr>
              <w:t>5.2.2 透视曝光开关应为常断式开关，并配有透视计时及限时报警装置。</w:t>
            </w:r>
          </w:p>
          <w:p>
            <w:pPr>
              <w:autoSpaceDE w:val="0"/>
              <w:autoSpaceDN w:val="0"/>
              <w:adjustRightInd w:val="0"/>
              <w:spacing w:line="360" w:lineRule="auto"/>
              <w:ind w:firstLine="480" w:firstLineChars="200"/>
              <w:rPr>
                <w:color w:val="000000"/>
                <w:kern w:val="0"/>
              </w:rPr>
            </w:pPr>
            <w:r>
              <w:rPr>
                <w:color w:val="000000"/>
                <w:kern w:val="0"/>
              </w:rPr>
              <w:t>5.2.3 用于介入放射学、近台同室操作（非普通荧光屏透视）的X射线透视设备防护性能专用要求见5.8。</w:t>
            </w:r>
          </w:p>
          <w:p>
            <w:pPr>
              <w:autoSpaceDE w:val="0"/>
              <w:autoSpaceDN w:val="0"/>
              <w:adjustRightInd w:val="0"/>
              <w:spacing w:line="360" w:lineRule="auto"/>
              <w:ind w:firstLine="480" w:firstLineChars="200"/>
              <w:rPr>
                <w:color w:val="000000"/>
                <w:kern w:val="0"/>
              </w:rPr>
            </w:pPr>
            <w:r>
              <w:rPr>
                <w:color w:val="000000"/>
                <w:kern w:val="0"/>
              </w:rPr>
              <w:t>5.8 介入放射学、近台同室操作（非普通荧光屏透视）用X射线设备防护性能的专用要求</w:t>
            </w:r>
            <w:r>
              <w:rPr>
                <w:rFonts w:hint="eastAsia"/>
                <w:color w:val="000000"/>
                <w:kern w:val="0"/>
              </w:rPr>
              <w:t>。</w:t>
            </w:r>
          </w:p>
          <w:p>
            <w:pPr>
              <w:autoSpaceDE w:val="0"/>
              <w:autoSpaceDN w:val="0"/>
              <w:adjustRightInd w:val="0"/>
              <w:spacing w:line="360" w:lineRule="auto"/>
              <w:ind w:firstLine="480" w:firstLineChars="200"/>
              <w:rPr>
                <w:color w:val="000000"/>
                <w:kern w:val="0"/>
              </w:rPr>
            </w:pPr>
            <w:r>
              <w:rPr>
                <w:color w:val="000000"/>
                <w:kern w:val="0"/>
              </w:rPr>
              <w:t>5.8.1 介入放射学、近台同室操作（非普通荧光屏透视）用X射线设备应满足其相应设备类型的防护性能专用要求。</w:t>
            </w:r>
          </w:p>
          <w:p>
            <w:pPr>
              <w:autoSpaceDE w:val="0"/>
              <w:autoSpaceDN w:val="0"/>
              <w:adjustRightInd w:val="0"/>
              <w:spacing w:line="360" w:lineRule="auto"/>
              <w:ind w:firstLine="480" w:firstLineChars="200"/>
              <w:rPr>
                <w:color w:val="000000"/>
                <w:kern w:val="0"/>
              </w:rPr>
            </w:pPr>
            <w:r>
              <w:rPr>
                <w:color w:val="000000"/>
                <w:kern w:val="0"/>
              </w:rPr>
              <w:t>5.8.2 在机房内应具备工作人员在不变换操作位置情况下能成功切换透视和摄影功能的控制键。</w:t>
            </w:r>
          </w:p>
          <w:p>
            <w:pPr>
              <w:autoSpaceDE w:val="0"/>
              <w:autoSpaceDN w:val="0"/>
              <w:adjustRightInd w:val="0"/>
              <w:spacing w:line="360" w:lineRule="auto"/>
              <w:ind w:firstLine="480" w:firstLineChars="200"/>
              <w:rPr>
                <w:color w:val="000000"/>
                <w:kern w:val="0"/>
              </w:rPr>
            </w:pPr>
            <w:r>
              <w:rPr>
                <w:color w:val="000000"/>
                <w:kern w:val="0"/>
              </w:rPr>
              <w:t>5.8.3 X射线设备应配备能阻止使用焦皮距小于20cm的装置。</w:t>
            </w:r>
          </w:p>
          <w:p>
            <w:pPr>
              <w:autoSpaceDE w:val="0"/>
              <w:autoSpaceDN w:val="0"/>
              <w:adjustRightInd w:val="0"/>
              <w:spacing w:line="360" w:lineRule="auto"/>
              <w:ind w:firstLine="480" w:firstLineChars="200"/>
              <w:rPr>
                <w:color w:val="000000"/>
                <w:kern w:val="0"/>
              </w:rPr>
            </w:pPr>
            <w:r>
              <w:rPr>
                <w:color w:val="000000"/>
                <w:kern w:val="0"/>
              </w:rPr>
              <w:t>5.8.4 介入操作中，设备控制台和机房内显示器上应能显示当前受检者的辐射剂量测定指示和多次曝光剂量记录。</w:t>
            </w:r>
          </w:p>
          <w:p>
            <w:pPr>
              <w:autoSpaceDE w:val="0"/>
              <w:autoSpaceDN w:val="0"/>
              <w:adjustRightInd w:val="0"/>
              <w:spacing w:line="360" w:lineRule="auto"/>
              <w:ind w:firstLine="480" w:firstLineChars="200"/>
              <w:rPr>
                <w:color w:val="000000"/>
                <w:kern w:val="0"/>
              </w:rPr>
            </w:pPr>
            <w:r>
              <w:rPr>
                <w:color w:val="000000"/>
                <w:kern w:val="0"/>
              </w:rPr>
              <w:t>6 X射线设备机房防护设施的技术要求</w:t>
            </w:r>
          </w:p>
          <w:p>
            <w:pPr>
              <w:autoSpaceDE w:val="0"/>
              <w:autoSpaceDN w:val="0"/>
              <w:adjustRightInd w:val="0"/>
              <w:spacing w:line="360" w:lineRule="auto"/>
              <w:ind w:firstLine="480" w:firstLineChars="200"/>
              <w:rPr>
                <w:color w:val="000000"/>
                <w:kern w:val="0"/>
              </w:rPr>
            </w:pPr>
            <w:r>
              <w:rPr>
                <w:color w:val="000000"/>
                <w:kern w:val="0"/>
              </w:rPr>
              <w:t>6.1 X 射线设备机房布局</w:t>
            </w:r>
          </w:p>
          <w:p>
            <w:pPr>
              <w:autoSpaceDE w:val="0"/>
              <w:autoSpaceDN w:val="0"/>
              <w:adjustRightInd w:val="0"/>
              <w:spacing w:line="360" w:lineRule="auto"/>
              <w:ind w:firstLine="480" w:firstLineChars="200"/>
              <w:rPr>
                <w:color w:val="000000"/>
                <w:kern w:val="0"/>
              </w:rPr>
            </w:pPr>
            <w:r>
              <w:rPr>
                <w:color w:val="000000"/>
                <w:kern w:val="0"/>
              </w:rPr>
              <w:t>6.1.1 应合理设置X射线设备、机房的门、窗和管线口位置，应尽量避免有用线束直接照射门、窗、管线口和工作人员操作位。</w:t>
            </w:r>
          </w:p>
          <w:p>
            <w:pPr>
              <w:autoSpaceDE w:val="0"/>
              <w:autoSpaceDN w:val="0"/>
              <w:adjustRightInd w:val="0"/>
              <w:spacing w:line="360" w:lineRule="auto"/>
              <w:ind w:firstLine="480" w:firstLineChars="200"/>
              <w:rPr>
                <w:color w:val="000000"/>
                <w:kern w:val="0"/>
              </w:rPr>
            </w:pPr>
            <w:r>
              <w:rPr>
                <w:color w:val="000000"/>
                <w:kern w:val="0"/>
              </w:rPr>
              <w:t>6.1.2 X射线设备机房（照射室）的设置应充分考虑邻室（含楼上和楼下）及周围场所的人员防护与安全。</w:t>
            </w:r>
          </w:p>
          <w:p>
            <w:pPr>
              <w:autoSpaceDE w:val="0"/>
              <w:autoSpaceDN w:val="0"/>
              <w:adjustRightInd w:val="0"/>
              <w:spacing w:line="360" w:lineRule="auto"/>
              <w:ind w:firstLine="480" w:firstLineChars="200"/>
              <w:rPr>
                <w:color w:val="000000"/>
                <w:kern w:val="0"/>
              </w:rPr>
            </w:pPr>
            <w:r>
              <w:rPr>
                <w:color w:val="000000"/>
                <w:kern w:val="0"/>
              </w:rPr>
              <w:t>6.1.3 每台固定使用的X射线设备应设有单独的机房，机房应满足使用设备的布局要求；</w:t>
            </w:r>
          </w:p>
          <w:p>
            <w:pPr>
              <w:autoSpaceDE w:val="0"/>
              <w:autoSpaceDN w:val="0"/>
              <w:adjustRightInd w:val="0"/>
              <w:spacing w:line="360" w:lineRule="auto"/>
              <w:ind w:firstLine="480" w:firstLineChars="200"/>
              <w:rPr>
                <w:color w:val="000000"/>
                <w:kern w:val="0"/>
              </w:rPr>
            </w:pPr>
            <w:r>
              <w:rPr>
                <w:color w:val="000000"/>
                <w:kern w:val="0"/>
              </w:rPr>
              <w:t>6.1.5 除床旁摄影设备、便携式X射线设备和车载式诊断X射线设备外，对新建、改建和扩建项目和技术改造、技术引进项目的X射线设备机房，其最小有效使用面积、最小单边长度应符合表7-2的规定。</w:t>
            </w:r>
          </w:p>
          <w:p>
            <w:pPr>
              <w:spacing w:line="360" w:lineRule="auto"/>
              <w:jc w:val="center"/>
              <w:rPr>
                <w:rFonts w:ascii="宋体" w:hAnsi="宋体"/>
                <w:b/>
                <w:bCs/>
                <w:sz w:val="21"/>
                <w:szCs w:val="21"/>
              </w:rPr>
            </w:pPr>
            <w:r>
              <w:rPr>
                <w:rFonts w:ascii="宋体" w:hAnsi="宋体"/>
                <w:b/>
                <w:bCs/>
                <w:sz w:val="21"/>
                <w:szCs w:val="21"/>
              </w:rPr>
              <w:t>表7-2  X射线设备机房（照射室）使用面积及单边长度的要求</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4"/>
              <w:gridCol w:w="3044"/>
              <w:gridCol w:w="2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0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设备类型</w:t>
                  </w:r>
                </w:p>
              </w:tc>
              <w:tc>
                <w:tcPr>
                  <w:tcW w:w="30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机房内最小有效使用面积（m</w:t>
                  </w:r>
                  <w:r>
                    <w:rPr>
                      <w:color w:val="000000"/>
                      <w:kern w:val="0"/>
                      <w:sz w:val="21"/>
                      <w:szCs w:val="21"/>
                      <w:vertAlign w:val="superscript"/>
                    </w:rPr>
                    <w:t>2</w:t>
                  </w:r>
                  <w:r>
                    <w:rPr>
                      <w:color w:val="000000"/>
                      <w:kern w:val="0"/>
                      <w:sz w:val="21"/>
                      <w:szCs w:val="21"/>
                    </w:rPr>
                    <w:t>）</w:t>
                  </w:r>
                </w:p>
              </w:tc>
              <w:tc>
                <w:tcPr>
                  <w:tcW w:w="25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机房内最小单边长度（m）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0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单管头X射线设备</w:t>
                  </w:r>
                </w:p>
                <w:p>
                  <w:pPr>
                    <w:autoSpaceDE w:val="0"/>
                    <w:autoSpaceDN w:val="0"/>
                    <w:adjustRightInd w:val="0"/>
                    <w:jc w:val="center"/>
                    <w:rPr>
                      <w:color w:val="000000"/>
                      <w:kern w:val="0"/>
                      <w:sz w:val="21"/>
                      <w:szCs w:val="21"/>
                    </w:rPr>
                  </w:pPr>
                  <w:r>
                    <w:rPr>
                      <w:color w:val="000000"/>
                      <w:kern w:val="0"/>
                      <w:sz w:val="21"/>
                      <w:szCs w:val="21"/>
                    </w:rPr>
                    <w:t>（含C形臂、乳腺CBCT）</w:t>
                  </w:r>
                  <w:r>
                    <w:rPr>
                      <w:color w:val="000000"/>
                      <w:kern w:val="0"/>
                      <w:sz w:val="21"/>
                      <w:szCs w:val="21"/>
                      <w:vertAlign w:val="superscript"/>
                    </w:rPr>
                    <w:t>注</w:t>
                  </w:r>
                </w:p>
              </w:tc>
              <w:tc>
                <w:tcPr>
                  <w:tcW w:w="30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20</w:t>
                  </w:r>
                </w:p>
              </w:tc>
              <w:tc>
                <w:tcPr>
                  <w:tcW w:w="25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41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color w:val="000000"/>
                      <w:kern w:val="0"/>
                      <w:sz w:val="21"/>
                      <w:szCs w:val="21"/>
                    </w:rPr>
                  </w:pPr>
                  <w:r>
                    <w:rPr>
                      <w:color w:val="000000"/>
                      <w:kern w:val="0"/>
                      <w:sz w:val="18"/>
                      <w:szCs w:val="18"/>
                    </w:rPr>
                    <w:t>注：单管头、双管头或多管头X射线机的每个管球各安装在1个房间内。</w:t>
                  </w:r>
                </w:p>
              </w:tc>
            </w:tr>
          </w:tbl>
          <w:p>
            <w:pPr>
              <w:numPr>
                <w:ilvl w:val="1"/>
                <w:numId w:val="1"/>
              </w:numPr>
              <w:autoSpaceDE w:val="0"/>
              <w:autoSpaceDN w:val="0"/>
              <w:adjustRightInd w:val="0"/>
              <w:spacing w:line="360" w:lineRule="auto"/>
              <w:rPr>
                <w:color w:val="000000"/>
                <w:kern w:val="0"/>
              </w:rPr>
            </w:pPr>
            <w:r>
              <w:rPr>
                <w:color w:val="000000"/>
                <w:kern w:val="0"/>
              </w:rPr>
              <w:t>X射线设备机房屏蔽</w:t>
            </w:r>
          </w:p>
          <w:p>
            <w:pPr>
              <w:autoSpaceDE w:val="0"/>
              <w:autoSpaceDN w:val="0"/>
              <w:adjustRightInd w:val="0"/>
              <w:spacing w:line="360" w:lineRule="auto"/>
              <w:ind w:firstLine="480" w:firstLineChars="200"/>
              <w:rPr>
                <w:color w:val="000000"/>
                <w:kern w:val="0"/>
              </w:rPr>
            </w:pPr>
            <w:r>
              <w:rPr>
                <w:color w:val="000000"/>
                <w:kern w:val="0"/>
              </w:rPr>
              <w:t>6.2.1 不同类型X射线设备（不含床旁摄影设备和便携式X射线设备）机房的屏蔽防护应不小于表7-3规定。</w:t>
            </w:r>
          </w:p>
          <w:p>
            <w:pPr>
              <w:spacing w:line="360" w:lineRule="auto"/>
              <w:jc w:val="center"/>
              <w:rPr>
                <w:rFonts w:ascii="宋体" w:hAnsi="宋体"/>
                <w:b/>
                <w:bCs/>
                <w:sz w:val="21"/>
                <w:szCs w:val="21"/>
              </w:rPr>
            </w:pPr>
            <w:r>
              <w:rPr>
                <w:rFonts w:ascii="宋体" w:hAnsi="宋体"/>
                <w:b/>
                <w:bCs/>
                <w:sz w:val="21"/>
                <w:szCs w:val="21"/>
              </w:rPr>
              <w:t>表7-3  不同类型X射线设备机房的屏蔽防护铅当量厚度要求</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4"/>
              <w:gridCol w:w="2565"/>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机房类型</w:t>
                  </w:r>
                </w:p>
              </w:tc>
              <w:tc>
                <w:tcPr>
                  <w:tcW w:w="25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有用线束方向铅当量（mmPb）</w:t>
                  </w:r>
                </w:p>
              </w:tc>
              <w:tc>
                <w:tcPr>
                  <w:tcW w:w="2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非有用线束方向铅当量（mmPb）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C形臂X射线设备机房</w:t>
                  </w:r>
                </w:p>
              </w:tc>
              <w:tc>
                <w:tcPr>
                  <w:tcW w:w="25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2.0</w:t>
                  </w:r>
                </w:p>
              </w:tc>
              <w:tc>
                <w:tcPr>
                  <w:tcW w:w="2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2.0</w:t>
                  </w:r>
                </w:p>
              </w:tc>
            </w:tr>
          </w:tbl>
          <w:p>
            <w:pPr>
              <w:autoSpaceDE w:val="0"/>
              <w:autoSpaceDN w:val="0"/>
              <w:adjustRightInd w:val="0"/>
              <w:spacing w:line="360" w:lineRule="auto"/>
              <w:ind w:firstLine="480" w:firstLineChars="200"/>
              <w:rPr>
                <w:color w:val="000000"/>
                <w:kern w:val="0"/>
              </w:rPr>
            </w:pPr>
            <w:r>
              <w:rPr>
                <w:color w:val="000000"/>
                <w:kern w:val="0"/>
              </w:rPr>
              <w:t>6.3 X射线设备机房屏蔽体外剂量水平</w:t>
            </w:r>
          </w:p>
          <w:p>
            <w:pPr>
              <w:pStyle w:val="45"/>
              <w:spacing w:line="360" w:lineRule="auto"/>
              <w:ind w:firstLine="480" w:firstLineChars="200"/>
              <w:jc w:val="both"/>
              <w:rPr>
                <w:rFonts w:ascii="Times New Roman" w:cs="Times New Roman"/>
              </w:rPr>
            </w:pPr>
            <w:r>
              <w:rPr>
                <w:rFonts w:ascii="Times New Roman" w:cs="Times New Roman"/>
              </w:rPr>
              <w:t>6.3.1 机房的辐射屏蔽防护，应满足下列要求：</w:t>
            </w:r>
          </w:p>
          <w:p>
            <w:pPr>
              <w:pStyle w:val="45"/>
              <w:spacing w:line="360" w:lineRule="auto"/>
              <w:ind w:firstLine="480" w:firstLineChars="200"/>
              <w:jc w:val="both"/>
              <w:rPr>
                <w:rFonts w:ascii="Times New Roman" w:cs="Times New Roman"/>
              </w:rPr>
            </w:pPr>
            <w:r>
              <w:rPr>
                <w:rFonts w:ascii="Times New Roman" w:cs="Times New Roman"/>
              </w:rPr>
              <w:t>a）具有透视功能的X射线设备在透视条件下检测时，周围剂量当量率应不大于2.5μSv/h；测量时，X射线设备连续出束时间应大于仪器响应时间；</w:t>
            </w:r>
          </w:p>
          <w:p>
            <w:pPr>
              <w:autoSpaceDE w:val="0"/>
              <w:autoSpaceDN w:val="0"/>
              <w:adjustRightInd w:val="0"/>
              <w:spacing w:line="360" w:lineRule="auto"/>
              <w:ind w:firstLine="480" w:firstLineChars="200"/>
              <w:rPr>
                <w:color w:val="000000"/>
                <w:kern w:val="0"/>
              </w:rPr>
            </w:pPr>
            <w:r>
              <w:rPr>
                <w:color w:val="000000"/>
                <w:kern w:val="0"/>
              </w:rPr>
              <w:t>6.4 X射线设备工作场所防护</w:t>
            </w:r>
          </w:p>
          <w:p>
            <w:pPr>
              <w:autoSpaceDE w:val="0"/>
              <w:autoSpaceDN w:val="0"/>
              <w:adjustRightInd w:val="0"/>
              <w:spacing w:line="360" w:lineRule="auto"/>
              <w:ind w:firstLine="480" w:firstLineChars="200"/>
              <w:rPr>
                <w:color w:val="000000"/>
                <w:kern w:val="0"/>
              </w:rPr>
            </w:pPr>
            <w:r>
              <w:rPr>
                <w:color w:val="000000"/>
              </w:rPr>
              <w:t>6.4.1 机房应设有观察窗或摄像监控装置，其设置的位置应便于观察到受检者状态及防护门开闭情况。</w:t>
            </w:r>
          </w:p>
          <w:p>
            <w:pPr>
              <w:autoSpaceDE w:val="0"/>
              <w:autoSpaceDN w:val="0"/>
              <w:adjustRightInd w:val="0"/>
              <w:spacing w:line="360" w:lineRule="auto"/>
              <w:ind w:firstLine="480" w:firstLineChars="200"/>
              <w:rPr>
                <w:color w:val="000000"/>
                <w:kern w:val="0"/>
              </w:rPr>
            </w:pPr>
            <w:r>
              <w:rPr>
                <w:color w:val="000000"/>
                <w:kern w:val="0"/>
              </w:rPr>
              <w:t>6.4.2 机房内不应堆放与该设备诊断工作无关的杂物。</w:t>
            </w:r>
          </w:p>
          <w:p>
            <w:pPr>
              <w:autoSpaceDE w:val="0"/>
              <w:autoSpaceDN w:val="0"/>
              <w:adjustRightInd w:val="0"/>
              <w:spacing w:line="360" w:lineRule="auto"/>
              <w:ind w:firstLine="480" w:firstLineChars="200"/>
              <w:rPr>
                <w:color w:val="000000"/>
                <w:kern w:val="0"/>
              </w:rPr>
            </w:pPr>
            <w:r>
              <w:rPr>
                <w:color w:val="000000"/>
                <w:kern w:val="0"/>
              </w:rPr>
              <w:t>6.4.3 机房应设置动力通风装置，并保持良好的通风。</w:t>
            </w:r>
          </w:p>
          <w:p>
            <w:pPr>
              <w:pageBreakBefore/>
              <w:autoSpaceDE w:val="0"/>
              <w:autoSpaceDN w:val="0"/>
              <w:adjustRightInd w:val="0"/>
              <w:spacing w:line="360" w:lineRule="auto"/>
              <w:ind w:firstLine="480" w:firstLineChars="200"/>
              <w:rPr>
                <w:color w:val="000000"/>
                <w:kern w:val="0"/>
              </w:rPr>
            </w:pPr>
            <w:r>
              <w:rPr>
                <w:color w:val="000000"/>
                <w:kern w:val="0"/>
              </w:rPr>
              <w:t>6.4.4 机房门外应有电离辐射警告标志；机房门上方应有醒目的工作状态指示灯，灯箱上应设置如“射线有害、灯亮勿入”的可视警示语句；候诊区应设置放射防护注意事项告知栏。</w:t>
            </w:r>
          </w:p>
          <w:p>
            <w:pPr>
              <w:autoSpaceDE w:val="0"/>
              <w:autoSpaceDN w:val="0"/>
              <w:adjustRightInd w:val="0"/>
              <w:spacing w:line="360" w:lineRule="auto"/>
              <w:ind w:firstLine="480" w:firstLineChars="200"/>
              <w:rPr>
                <w:color w:val="000000"/>
                <w:kern w:val="0"/>
              </w:rPr>
            </w:pPr>
            <w:r>
              <w:rPr>
                <w:color w:val="000000"/>
                <w:kern w:val="0"/>
              </w:rPr>
              <w:t>6.4.5 平开机房门应有自动闭门装置；推拉式机房门应设有曝光时关闭机房门的管理措施；工作状态指示灯能与机房门有效关联。</w:t>
            </w:r>
          </w:p>
          <w:p>
            <w:pPr>
              <w:autoSpaceDE w:val="0"/>
              <w:autoSpaceDN w:val="0"/>
              <w:adjustRightInd w:val="0"/>
              <w:spacing w:line="360" w:lineRule="auto"/>
              <w:ind w:firstLine="480" w:firstLineChars="200"/>
              <w:rPr>
                <w:color w:val="000000"/>
                <w:kern w:val="0"/>
              </w:rPr>
            </w:pPr>
            <w:r>
              <w:rPr>
                <w:color w:val="000000"/>
                <w:kern w:val="0"/>
              </w:rPr>
              <w:t>6.4.6 电动推拉门宜设置防夹装置。</w:t>
            </w:r>
          </w:p>
          <w:p>
            <w:pPr>
              <w:autoSpaceDE w:val="0"/>
              <w:autoSpaceDN w:val="0"/>
              <w:adjustRightInd w:val="0"/>
              <w:spacing w:line="360" w:lineRule="auto"/>
              <w:ind w:firstLine="480" w:firstLineChars="200"/>
              <w:rPr>
                <w:color w:val="FF0000"/>
                <w:kern w:val="0"/>
              </w:rPr>
            </w:pPr>
            <w:r>
              <w:rPr>
                <w:color w:val="000000"/>
                <w:kern w:val="0"/>
              </w:rPr>
              <w:t>6.4.7 受检者不应在机房内候诊；非特殊情况，检查过程中陪检者不应滞留在机房内。</w:t>
            </w:r>
          </w:p>
          <w:p>
            <w:pPr>
              <w:autoSpaceDE w:val="0"/>
              <w:autoSpaceDN w:val="0"/>
              <w:adjustRightInd w:val="0"/>
              <w:spacing w:line="360" w:lineRule="auto"/>
              <w:ind w:firstLine="480" w:firstLineChars="200"/>
              <w:rPr>
                <w:color w:val="000000"/>
                <w:kern w:val="0"/>
              </w:rPr>
            </w:pPr>
            <w:r>
              <w:rPr>
                <w:color w:val="000000"/>
                <w:kern w:val="0"/>
              </w:rPr>
              <w:t>6.4.10 机房出入门宜处于散射辐射相对低的位置。</w:t>
            </w:r>
          </w:p>
          <w:p>
            <w:pPr>
              <w:autoSpaceDE w:val="0"/>
              <w:autoSpaceDN w:val="0"/>
              <w:adjustRightInd w:val="0"/>
              <w:spacing w:line="360" w:lineRule="auto"/>
              <w:ind w:firstLine="480" w:firstLineChars="200"/>
              <w:rPr>
                <w:color w:val="000000"/>
              </w:rPr>
            </w:pPr>
            <w:r>
              <w:rPr>
                <w:color w:val="000000"/>
              </w:rPr>
              <w:t>6.5 X射线设备工作场所防护用品及防护设施配置要求</w:t>
            </w:r>
            <w:r>
              <w:rPr>
                <w:rFonts w:hint="eastAsia"/>
                <w:color w:val="000000"/>
              </w:rPr>
              <w:t>。</w:t>
            </w:r>
          </w:p>
          <w:p>
            <w:pPr>
              <w:autoSpaceDE w:val="0"/>
              <w:autoSpaceDN w:val="0"/>
              <w:adjustRightInd w:val="0"/>
              <w:spacing w:line="360" w:lineRule="auto"/>
              <w:ind w:firstLine="480" w:firstLineChars="200"/>
              <w:rPr>
                <w:color w:val="000000"/>
                <w:kern w:val="0"/>
              </w:rPr>
            </w:pPr>
            <w:r>
              <w:rPr>
                <w:color w:val="000000"/>
                <w:kern w:val="0"/>
              </w:rPr>
              <w:t>6.5.1 每台X射线设备根据工作内容，现场应配备不少于表7-4基本种类要求的工作人员、受检者防护用品与辅助防护设施，其数量应满足开展工作需要，对陪检者应至少配备铅橡胶防护衣。</w:t>
            </w:r>
          </w:p>
          <w:p>
            <w:pPr>
              <w:autoSpaceDE w:val="0"/>
              <w:autoSpaceDN w:val="0"/>
              <w:adjustRightInd w:val="0"/>
              <w:spacing w:line="360" w:lineRule="auto"/>
              <w:ind w:firstLine="480" w:firstLineChars="200"/>
              <w:rPr>
                <w:color w:val="000000"/>
                <w:kern w:val="0"/>
              </w:rPr>
            </w:pPr>
            <w:r>
              <w:rPr>
                <w:color w:val="000000"/>
                <w:kern w:val="0"/>
              </w:rPr>
              <w:t>6.5.3 除介入防护手套外，防护用品和辅助防护设施的铅当量应不小于0.25mmPb；介入防护手套铅当量应不小于0.025mmPb；甲状腺、性腺防护用品铅当量应不小于0.5mmPb；移动铅防护屏风铅当量应不小于2mmPb。</w:t>
            </w:r>
          </w:p>
          <w:p>
            <w:pPr>
              <w:autoSpaceDE w:val="0"/>
              <w:autoSpaceDN w:val="0"/>
              <w:adjustRightInd w:val="0"/>
              <w:spacing w:line="360" w:lineRule="auto"/>
              <w:ind w:firstLine="480" w:firstLineChars="200"/>
              <w:rPr>
                <w:color w:val="000000"/>
                <w:kern w:val="0"/>
              </w:rPr>
            </w:pPr>
            <w:r>
              <w:rPr>
                <w:color w:val="000000"/>
                <w:kern w:val="0"/>
              </w:rPr>
              <w:t>6.5.4 应为儿童的X射线检查配备保护相应组织和器官的防护用品，防护用品和辅助防护设施的铅当量应不小于0.5mmPb。</w:t>
            </w:r>
          </w:p>
          <w:p>
            <w:pPr>
              <w:autoSpaceDE w:val="0"/>
              <w:autoSpaceDN w:val="0"/>
              <w:adjustRightInd w:val="0"/>
              <w:spacing w:line="360" w:lineRule="auto"/>
              <w:ind w:firstLine="480" w:firstLineChars="200"/>
              <w:rPr>
                <w:color w:val="000000"/>
                <w:kern w:val="0"/>
              </w:rPr>
            </w:pPr>
            <w:r>
              <w:rPr>
                <w:color w:val="000000"/>
                <w:kern w:val="0"/>
              </w:rPr>
              <w:t>6.5.5 个人防护用品不使用时，应妥善存放，不应折叠放置，以防止断裂。</w:t>
            </w:r>
          </w:p>
          <w:p>
            <w:pPr>
              <w:spacing w:line="360" w:lineRule="auto"/>
              <w:jc w:val="center"/>
              <w:rPr>
                <w:rFonts w:ascii="宋体" w:hAnsi="宋体"/>
                <w:b/>
                <w:bCs/>
                <w:sz w:val="21"/>
                <w:szCs w:val="21"/>
              </w:rPr>
            </w:pPr>
            <w:r>
              <w:rPr>
                <w:rFonts w:ascii="宋体" w:hAnsi="宋体"/>
                <w:b/>
                <w:bCs/>
                <w:sz w:val="21"/>
                <w:szCs w:val="21"/>
              </w:rPr>
              <w:t>表7-4  个人防护用品和辅助防护设施配置要求</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853"/>
              <w:gridCol w:w="1824"/>
              <w:gridCol w:w="1821"/>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331"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放射检查类型</w:t>
                  </w:r>
                </w:p>
              </w:tc>
              <w:tc>
                <w:tcPr>
                  <w:tcW w:w="3677"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工作人员</w:t>
                  </w:r>
                </w:p>
              </w:tc>
              <w:tc>
                <w:tcPr>
                  <w:tcW w:w="3407"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受检者和受检者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1"/>
                      <w:szCs w:val="21"/>
                    </w:rPr>
                  </w:pPr>
                </w:p>
              </w:tc>
              <w:tc>
                <w:tcPr>
                  <w:tcW w:w="1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个人防护用品</w:t>
                  </w:r>
                </w:p>
              </w:tc>
              <w:tc>
                <w:tcPr>
                  <w:tcW w:w="182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辅助防护设施</w:t>
                  </w:r>
                </w:p>
              </w:tc>
              <w:tc>
                <w:tcPr>
                  <w:tcW w:w="182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个人防护用品</w:t>
                  </w:r>
                </w:p>
              </w:tc>
              <w:tc>
                <w:tcPr>
                  <w:tcW w:w="158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辅助防护用品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3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介入放射性操作</w:t>
                  </w:r>
                </w:p>
              </w:tc>
              <w:tc>
                <w:tcPr>
                  <w:tcW w:w="1853" w:type="dxa"/>
                  <w:tcBorders>
                    <w:top w:val="single" w:color="auto" w:sz="4" w:space="0"/>
                    <w:left w:val="single" w:color="auto" w:sz="4" w:space="0"/>
                    <w:bottom w:val="single" w:color="auto" w:sz="4" w:space="0"/>
                    <w:right w:val="single" w:color="auto" w:sz="4" w:space="0"/>
                  </w:tcBorders>
                  <w:vAlign w:val="center"/>
                </w:tcPr>
                <w:p>
                  <w:pPr>
                    <w:tabs>
                      <w:tab w:val="left" w:pos="1200"/>
                    </w:tabs>
                    <w:jc w:val="center"/>
                    <w:rPr>
                      <w:bCs/>
                      <w:color w:val="000000"/>
                      <w:sz w:val="21"/>
                    </w:rPr>
                  </w:pPr>
                  <w:r>
                    <w:rPr>
                      <w:bCs/>
                      <w:color w:val="000000"/>
                      <w:sz w:val="21"/>
                    </w:rPr>
                    <w:t>铅橡胶围裙、铅橡胶颈套、铅防护眼镜、介入防护手套</w:t>
                  </w:r>
                </w:p>
                <w:p>
                  <w:pPr>
                    <w:autoSpaceDE w:val="0"/>
                    <w:autoSpaceDN w:val="0"/>
                    <w:adjustRightInd w:val="0"/>
                    <w:jc w:val="center"/>
                    <w:rPr>
                      <w:color w:val="000000"/>
                      <w:kern w:val="0"/>
                      <w:sz w:val="21"/>
                      <w:szCs w:val="21"/>
                    </w:rPr>
                  </w:pPr>
                  <w:r>
                    <w:rPr>
                      <w:bCs/>
                      <w:color w:val="000000"/>
                      <w:sz w:val="21"/>
                    </w:rPr>
                    <w:t>选配：铅橡胶帽子</w:t>
                  </w:r>
                </w:p>
              </w:tc>
              <w:tc>
                <w:tcPr>
                  <w:tcW w:w="1824" w:type="dxa"/>
                  <w:tcBorders>
                    <w:top w:val="single" w:color="auto" w:sz="4" w:space="0"/>
                    <w:left w:val="single" w:color="auto" w:sz="4" w:space="0"/>
                    <w:bottom w:val="single" w:color="auto" w:sz="4" w:space="0"/>
                    <w:right w:val="single" w:color="auto" w:sz="4" w:space="0"/>
                  </w:tcBorders>
                  <w:vAlign w:val="center"/>
                </w:tcPr>
                <w:p>
                  <w:pPr>
                    <w:tabs>
                      <w:tab w:val="left" w:pos="1200"/>
                    </w:tabs>
                    <w:jc w:val="center"/>
                    <w:rPr>
                      <w:bCs/>
                      <w:color w:val="000000"/>
                      <w:sz w:val="21"/>
                    </w:rPr>
                  </w:pPr>
                  <w:r>
                    <w:rPr>
                      <w:bCs/>
                      <w:color w:val="000000"/>
                      <w:sz w:val="21"/>
                    </w:rPr>
                    <w:t>铅悬挂防护屏/铅防护吊帘/床侧防护屏/床侧防护帘</w:t>
                  </w:r>
                </w:p>
                <w:p>
                  <w:pPr>
                    <w:autoSpaceDE w:val="0"/>
                    <w:autoSpaceDN w:val="0"/>
                    <w:adjustRightInd w:val="0"/>
                    <w:jc w:val="center"/>
                    <w:rPr>
                      <w:color w:val="000000"/>
                      <w:kern w:val="0"/>
                      <w:sz w:val="21"/>
                      <w:szCs w:val="21"/>
                    </w:rPr>
                  </w:pPr>
                  <w:r>
                    <w:rPr>
                      <w:bCs/>
                      <w:color w:val="000000"/>
                      <w:sz w:val="21"/>
                    </w:rPr>
                    <w:t>选配：移动铅防护屏风</w:t>
                  </w:r>
                </w:p>
              </w:tc>
              <w:tc>
                <w:tcPr>
                  <w:tcW w:w="1821" w:type="dxa"/>
                  <w:tcBorders>
                    <w:top w:val="single" w:color="auto" w:sz="4" w:space="0"/>
                    <w:left w:val="single" w:color="auto" w:sz="4" w:space="0"/>
                    <w:bottom w:val="single" w:color="auto" w:sz="4" w:space="0"/>
                    <w:right w:val="single" w:color="auto" w:sz="4" w:space="0"/>
                  </w:tcBorders>
                  <w:vAlign w:val="center"/>
                </w:tcPr>
                <w:p>
                  <w:pPr>
                    <w:tabs>
                      <w:tab w:val="left" w:pos="1200"/>
                    </w:tabs>
                    <w:jc w:val="center"/>
                    <w:rPr>
                      <w:bCs/>
                      <w:color w:val="000000"/>
                      <w:sz w:val="21"/>
                    </w:rPr>
                  </w:pPr>
                  <w:r>
                    <w:rPr>
                      <w:bCs/>
                      <w:color w:val="000000"/>
                      <w:sz w:val="21"/>
                    </w:rPr>
                    <w:t>铅橡胶性腺防护围裙（方形）或方巾、铅橡胶颈套、</w:t>
                  </w:r>
                </w:p>
                <w:p>
                  <w:pPr>
                    <w:autoSpaceDE w:val="0"/>
                    <w:autoSpaceDN w:val="0"/>
                    <w:adjustRightInd w:val="0"/>
                    <w:jc w:val="center"/>
                    <w:rPr>
                      <w:color w:val="000000"/>
                      <w:kern w:val="0"/>
                      <w:sz w:val="21"/>
                      <w:szCs w:val="21"/>
                    </w:rPr>
                  </w:pPr>
                  <w:r>
                    <w:rPr>
                      <w:bCs/>
                      <w:color w:val="000000"/>
                      <w:sz w:val="21"/>
                    </w:rPr>
                    <w:t>选配：铅橡胶帽子</w:t>
                  </w:r>
                </w:p>
              </w:tc>
              <w:tc>
                <w:tcPr>
                  <w:tcW w:w="158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kern w:val="0"/>
                      <w:sz w:val="21"/>
                      <w:szCs w:val="21"/>
                    </w:rPr>
                  </w:pPr>
                  <w:r>
                    <w:rPr>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415"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color w:val="000000"/>
                      <w:kern w:val="0"/>
                      <w:sz w:val="21"/>
                      <w:szCs w:val="21"/>
                    </w:rPr>
                  </w:pPr>
                  <w:r>
                    <w:rPr>
                      <w:color w:val="000000"/>
                      <w:kern w:val="0"/>
                      <w:sz w:val="18"/>
                      <w:szCs w:val="18"/>
                    </w:rPr>
                    <w:t>注：“—”表示不需要。</w:t>
                  </w:r>
                </w:p>
              </w:tc>
            </w:tr>
          </w:tbl>
          <w:p>
            <w:pPr>
              <w:tabs>
                <w:tab w:val="left" w:pos="1200"/>
              </w:tabs>
              <w:spacing w:line="360" w:lineRule="auto"/>
              <w:ind w:firstLine="482" w:firstLineChars="200"/>
              <w:rPr>
                <w:b/>
                <w:bCs/>
                <w:color w:val="000000"/>
                <w:kern w:val="44"/>
                <w:szCs w:val="44"/>
              </w:rPr>
            </w:pPr>
            <w:r>
              <w:rPr>
                <w:b/>
                <w:bCs/>
                <w:color w:val="000000"/>
                <w:kern w:val="44"/>
                <w:szCs w:val="44"/>
              </w:rPr>
              <w:t>7.3.</w:t>
            </w:r>
            <w:r>
              <w:rPr>
                <w:rFonts w:hint="eastAsia"/>
                <w:b/>
                <w:bCs/>
                <w:color w:val="000000"/>
                <w:kern w:val="44"/>
                <w:szCs w:val="44"/>
              </w:rPr>
              <w:t>3</w:t>
            </w:r>
            <w:r>
              <w:rPr>
                <w:b/>
                <w:bCs/>
                <w:color w:val="000000"/>
                <w:kern w:val="44"/>
                <w:szCs w:val="44"/>
              </w:rPr>
              <w:t xml:space="preserve"> 环评要求年剂量约束值及控制水平</w:t>
            </w:r>
          </w:p>
          <w:p>
            <w:pPr>
              <w:spacing w:line="360" w:lineRule="auto"/>
              <w:ind w:firstLine="476" w:firstLineChars="200"/>
              <w:rPr>
                <w:rFonts w:ascii="宋体" w:hAnsi="宋体" w:cs="宋体"/>
              </w:rPr>
            </w:pPr>
            <w:r>
              <w:rPr>
                <w:rFonts w:ascii="宋体" w:hAnsi="宋体" w:cs="宋体"/>
                <w:spacing w:val="-1"/>
              </w:rPr>
              <w:t>根据《电离辐射防护与辐射源安全基本标准》（</w:t>
            </w:r>
            <w:r>
              <w:rPr>
                <w:rFonts w:eastAsia="Times New Roman"/>
                <w:spacing w:val="-1"/>
              </w:rPr>
              <w:t>GB</w:t>
            </w:r>
            <w:r>
              <w:rPr>
                <w:rFonts w:eastAsia="Times New Roman"/>
                <w:spacing w:val="64"/>
              </w:rPr>
              <w:t xml:space="preserve"> </w:t>
            </w:r>
            <w:r>
              <w:rPr>
                <w:rFonts w:eastAsia="Times New Roman"/>
                <w:spacing w:val="-1"/>
              </w:rPr>
              <w:t>18871-2002</w:t>
            </w:r>
            <w:r>
              <w:rPr>
                <w:rFonts w:ascii="宋体" w:hAnsi="宋体" w:cs="宋体"/>
                <w:spacing w:val="-1"/>
              </w:rPr>
              <w:t>）和《放射</w:t>
            </w:r>
            <w:r>
              <w:rPr>
                <w:rFonts w:ascii="宋体" w:hAnsi="宋体" w:cs="宋体"/>
                <w:spacing w:val="-5"/>
              </w:rPr>
              <w:t>诊断放射防护要求》（</w:t>
            </w:r>
            <w:r>
              <w:rPr>
                <w:rFonts w:eastAsia="Times New Roman"/>
                <w:spacing w:val="-5"/>
              </w:rPr>
              <w:t>GBZ130-2020</w:t>
            </w:r>
            <w:r>
              <w:rPr>
                <w:rFonts w:ascii="宋体" w:hAnsi="宋体" w:cs="宋体"/>
                <w:spacing w:val="-5"/>
              </w:rPr>
              <w:t>）中“辐射防护安全与最优化原则”。本次</w:t>
            </w:r>
            <w:r>
              <w:rPr>
                <w:rFonts w:ascii="宋体" w:hAnsi="宋体" w:cs="宋体"/>
                <w:spacing w:val="-2"/>
              </w:rPr>
              <w:t>评价对职业照射和公众照射的年受照剂量约束值分别进行了以下设定：</w:t>
            </w:r>
          </w:p>
          <w:p>
            <w:pPr>
              <w:autoSpaceDE w:val="0"/>
              <w:autoSpaceDN w:val="0"/>
              <w:adjustRightInd w:val="0"/>
              <w:spacing w:line="360" w:lineRule="auto"/>
              <w:ind w:firstLine="472" w:firstLineChars="200"/>
              <w:rPr>
                <w:b/>
                <w:bCs/>
                <w:color w:val="000000"/>
                <w:sz w:val="28"/>
                <w:szCs w:val="28"/>
              </w:rPr>
            </w:pPr>
            <w:r>
              <w:rPr>
                <w:rFonts w:ascii="宋体" w:hAnsi="宋体" w:cs="宋体"/>
                <w:spacing w:val="-2"/>
              </w:rPr>
              <w:t>根据</w:t>
            </w:r>
            <w:r>
              <w:rPr>
                <w:rFonts w:eastAsia="Times New Roman"/>
                <w:spacing w:val="-2"/>
              </w:rPr>
              <w:t>GB18871-2002</w:t>
            </w:r>
            <w:r>
              <w:rPr>
                <w:rFonts w:ascii="宋体" w:hAnsi="宋体" w:cs="宋体"/>
                <w:spacing w:val="-2"/>
              </w:rPr>
              <w:t>，个人受照剂量的大小与受照射的人数以及受照射的可</w:t>
            </w:r>
            <w:r>
              <w:rPr>
                <w:rFonts w:ascii="宋体" w:hAnsi="宋体" w:cs="宋体"/>
                <w:spacing w:val="-8"/>
              </w:rPr>
              <w:t>能性均保持在可合理达到的尽量低水平，根据</w:t>
            </w:r>
            <w:r>
              <w:rPr>
                <w:rFonts w:hint="eastAsia" w:ascii="宋体" w:hAnsi="宋体" w:cs="宋体"/>
                <w:spacing w:val="-8"/>
              </w:rPr>
              <w:t>运行期年附加剂量</w:t>
            </w:r>
            <w:r>
              <w:rPr>
                <w:rFonts w:ascii="宋体" w:hAnsi="宋体" w:cs="宋体"/>
                <w:spacing w:val="-8"/>
              </w:rPr>
              <w:t>预测结果，结合医院管理目标值，</w:t>
            </w:r>
            <w:r>
              <w:rPr>
                <w:rFonts w:ascii="宋体" w:hAnsi="宋体" w:cs="宋体"/>
                <w:spacing w:val="1"/>
              </w:rPr>
              <w:t>放射工作人员的年附加剂量约束值取</w:t>
            </w:r>
            <w:r>
              <w:rPr>
                <w:rFonts w:eastAsia="Times New Roman"/>
                <w:spacing w:val="1"/>
              </w:rPr>
              <w:t>5mSv/a</w:t>
            </w:r>
            <w:r>
              <w:rPr>
                <w:rFonts w:ascii="宋体" w:hAnsi="宋体" w:cs="宋体"/>
                <w:spacing w:val="1"/>
              </w:rPr>
              <w:t>；周围公众的年附加剂量约束值取</w:t>
            </w:r>
            <w:r>
              <w:rPr>
                <w:rFonts w:eastAsia="Times New Roman"/>
                <w:spacing w:val="-1"/>
              </w:rPr>
              <w:t>0.</w:t>
            </w:r>
            <w:r>
              <w:rPr>
                <w:rFonts w:hint="eastAsia"/>
                <w:spacing w:val="-1"/>
              </w:rPr>
              <w:t>1</w:t>
            </w:r>
            <w:r>
              <w:rPr>
                <w:rFonts w:eastAsia="Times New Roman"/>
                <w:spacing w:val="-1"/>
              </w:rPr>
              <w:t>mSv/a</w:t>
            </w:r>
            <w:r>
              <w:rPr>
                <w:rFonts w:ascii="宋体" w:hAnsi="宋体" w:cs="宋体"/>
                <w:spacing w:val="-1"/>
              </w:rPr>
              <w:t>。</w:t>
            </w:r>
          </w:p>
        </w:tc>
      </w:tr>
    </w:tbl>
    <w:p>
      <w:pPr>
        <w:pStyle w:val="3"/>
        <w:rPr>
          <w:color w:val="000000"/>
          <w:sz w:val="28"/>
          <w:szCs w:val="28"/>
        </w:rPr>
        <w:sectPr>
          <w:pgSz w:w="11906" w:h="16838"/>
          <w:pgMar w:top="1440" w:right="1440" w:bottom="1440" w:left="1440" w:header="851" w:footer="992" w:gutter="0"/>
          <w:pgBorders>
            <w:top w:val="none" w:sz="0" w:space="0"/>
            <w:left w:val="none" w:sz="0" w:space="0"/>
            <w:bottom w:val="none" w:sz="0" w:space="0"/>
            <w:right w:val="none" w:sz="0" w:space="0"/>
          </w:pgBorders>
          <w:pgNumType w:fmt="numberInDash"/>
          <w:cols w:space="720" w:num="1"/>
          <w:docGrid w:type="lines" w:linePitch="334" w:charSpace="0"/>
        </w:sectPr>
      </w:pPr>
    </w:p>
    <w:p>
      <w:pPr>
        <w:pStyle w:val="3"/>
        <w:rPr>
          <w:color w:val="000000"/>
          <w:sz w:val="28"/>
          <w:szCs w:val="28"/>
        </w:rPr>
      </w:pPr>
      <w:bookmarkStart w:id="18" w:name="_Toc15347"/>
      <w:r>
        <w:rPr>
          <w:color w:val="000000"/>
          <w:sz w:val="28"/>
          <w:szCs w:val="28"/>
        </w:rPr>
        <w:t>表8 环境质量和辐射现状</w:t>
      </w:r>
      <w:bookmarkEnd w:id="18"/>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3" w:hRule="atLeast"/>
          <w:jc w:val="center"/>
        </w:trPr>
        <w:tc>
          <w:tcPr>
            <w:tcW w:w="8988" w:type="dxa"/>
          </w:tcPr>
          <w:p>
            <w:pPr>
              <w:adjustRightInd w:val="0"/>
              <w:snapToGrid w:val="0"/>
              <w:spacing w:line="360" w:lineRule="auto"/>
              <w:jc w:val="left"/>
              <w:textAlignment w:val="baseline"/>
              <w:outlineLvl w:val="0"/>
            </w:pPr>
            <w:r>
              <w:rPr>
                <w:b/>
              </w:rPr>
              <w:t>环境质量和辐射现状</w:t>
            </w:r>
          </w:p>
          <w:p>
            <w:pPr>
              <w:pStyle w:val="2"/>
              <w:ind w:firstLine="0" w:firstLineChars="0"/>
              <w:rPr>
                <w:rFonts w:eastAsia="宋体"/>
                <w:color w:val="000000"/>
              </w:rPr>
            </w:pPr>
            <w:r>
              <w:rPr>
                <w:rFonts w:eastAsia="宋体"/>
                <w:b/>
                <w:kern w:val="0"/>
              </w:rPr>
              <w:t>一、项目地理位置和场所位置</w:t>
            </w:r>
          </w:p>
          <w:p>
            <w:pPr>
              <w:pStyle w:val="2"/>
              <w:ind w:firstLine="480"/>
              <w:rPr>
                <w:rFonts w:eastAsia="宋体"/>
                <w:color w:val="FF0000"/>
              </w:rPr>
            </w:pPr>
            <w:r>
              <w:rPr>
                <w:rFonts w:hint="eastAsia" w:eastAsia="宋体"/>
                <w:color w:val="000000"/>
              </w:rPr>
              <w:t>本项目位于通用环球中铁西安医院住院部一层（西安市南二环东段319号通用环球中铁西安医院），地理位置见图1-1。住院部一层平面布局见图1-</w:t>
            </w:r>
            <w:r>
              <w:rPr>
                <w:rFonts w:eastAsia="宋体"/>
                <w:color w:val="000000"/>
              </w:rPr>
              <w:t>5</w:t>
            </w:r>
            <w:r>
              <w:rPr>
                <w:rFonts w:eastAsia="宋体"/>
              </w:rPr>
              <w:t>（</w:t>
            </w:r>
            <w:r>
              <w:rPr>
                <w:rFonts w:hint="eastAsia" w:eastAsia="宋体"/>
              </w:rPr>
              <w:t>现状</w:t>
            </w:r>
            <w:r>
              <w:rPr>
                <w:rFonts w:eastAsia="宋体"/>
              </w:rPr>
              <w:t>）。</w:t>
            </w:r>
          </w:p>
          <w:p>
            <w:pPr>
              <w:keepLines/>
              <w:spacing w:line="360" w:lineRule="auto"/>
              <w:ind w:right="17"/>
              <w:rPr>
                <w:b/>
                <w:bCs/>
              </w:rPr>
            </w:pPr>
            <w:r>
              <w:rPr>
                <w:b/>
                <w:bCs/>
              </w:rPr>
              <w:t>二、环境质量和辐射现状监测</w:t>
            </w:r>
          </w:p>
          <w:p>
            <w:pPr>
              <w:pStyle w:val="2"/>
              <w:ind w:firstLine="480"/>
              <w:rPr>
                <w:rFonts w:eastAsia="宋体"/>
                <w:color w:val="000000"/>
              </w:rPr>
            </w:pPr>
            <w:r>
              <w:rPr>
                <w:rFonts w:hint="eastAsia" w:eastAsia="宋体"/>
                <w:color w:val="000000"/>
              </w:rPr>
              <w:t>本项目辐射环境质量现状数据由通用环球中铁西安医院委托陕西经纬科技发展有限责任公司对项目所在地辐射环境质量进行现状监测，监测时间为202</w:t>
            </w:r>
            <w:r>
              <w:rPr>
                <w:rFonts w:eastAsia="宋体"/>
                <w:color w:val="000000"/>
              </w:rPr>
              <w:t>2</w:t>
            </w:r>
            <w:r>
              <w:rPr>
                <w:rFonts w:hint="eastAsia" w:eastAsia="宋体"/>
                <w:color w:val="000000"/>
              </w:rPr>
              <w:t>年7月</w:t>
            </w:r>
            <w:r>
              <w:rPr>
                <w:rFonts w:eastAsia="宋体"/>
                <w:color w:val="000000"/>
              </w:rPr>
              <w:t>19</w:t>
            </w:r>
            <w:r>
              <w:rPr>
                <w:rFonts w:hint="eastAsia" w:eastAsia="宋体"/>
                <w:color w:val="000000"/>
              </w:rPr>
              <w:t>日，监测地点为拟建DSA手术室及周边环境、监测单位按照《辐射环境监测技术规范》（HJ 61-2021）、</w:t>
            </w:r>
            <w:bookmarkStart w:id="19" w:name="_Hlk107584306"/>
            <w:r>
              <w:rPr>
                <w:rFonts w:hint="eastAsia" w:eastAsia="宋体"/>
                <w:color w:val="000000"/>
              </w:rPr>
              <w:t>《环境γ辐射剂量率测量技术规范》（HJ 1157-2021）</w:t>
            </w:r>
            <w:bookmarkEnd w:id="19"/>
            <w:r>
              <w:rPr>
                <w:rFonts w:hint="eastAsia" w:eastAsia="宋体"/>
                <w:color w:val="000000"/>
              </w:rPr>
              <w:t>等有关要求进行监测。</w:t>
            </w:r>
          </w:p>
          <w:p>
            <w:pPr>
              <w:spacing w:line="360" w:lineRule="auto"/>
              <w:ind w:firstLine="482" w:firstLineChars="200"/>
              <w:rPr>
                <w:b/>
                <w:bCs/>
              </w:rPr>
            </w:pPr>
            <w:r>
              <w:rPr>
                <w:b/>
                <w:bCs/>
              </w:rPr>
              <w:t>1、监测因子</w:t>
            </w:r>
          </w:p>
          <w:p>
            <w:pPr>
              <w:spacing w:line="360" w:lineRule="auto"/>
              <w:ind w:firstLine="480" w:firstLineChars="200"/>
              <w:rPr>
                <w:bCs/>
              </w:rPr>
            </w:pPr>
            <w:r>
              <w:rPr>
                <w:bCs/>
              </w:rPr>
              <w:t>γ辐射剂量率。</w:t>
            </w:r>
          </w:p>
          <w:p>
            <w:pPr>
              <w:spacing w:line="360" w:lineRule="auto"/>
              <w:ind w:firstLine="482" w:firstLineChars="200"/>
              <w:rPr>
                <w:b/>
                <w:bCs/>
              </w:rPr>
            </w:pPr>
            <w:r>
              <w:rPr>
                <w:b/>
                <w:bCs/>
              </w:rPr>
              <w:t>2、监测点位</w:t>
            </w:r>
          </w:p>
          <w:p>
            <w:pPr>
              <w:spacing w:line="360" w:lineRule="auto"/>
              <w:ind w:firstLine="480"/>
              <w:rPr>
                <w:bCs/>
              </w:rPr>
            </w:pPr>
            <w:r>
              <w:drawing>
                <wp:anchor distT="0" distB="0" distL="114300" distR="114300" simplePos="0" relativeHeight="251676672" behindDoc="0" locked="0" layoutInCell="1" allowOverlap="1">
                  <wp:simplePos x="0" y="0"/>
                  <wp:positionH relativeFrom="column">
                    <wp:posOffset>588010</wp:posOffset>
                  </wp:positionH>
                  <wp:positionV relativeFrom="paragraph">
                    <wp:posOffset>601980</wp:posOffset>
                  </wp:positionV>
                  <wp:extent cx="4401820" cy="3355340"/>
                  <wp:effectExtent l="0" t="0" r="0" b="0"/>
                  <wp:wrapTopAndBottom/>
                  <wp:docPr id="866461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61978" name="图片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01820" cy="3355340"/>
                          </a:xfrm>
                          <a:prstGeom prst="rect">
                            <a:avLst/>
                          </a:prstGeom>
                        </pic:spPr>
                      </pic:pic>
                    </a:graphicData>
                  </a:graphic>
                </wp:anchor>
              </w:drawing>
            </w:r>
            <w:r>
              <w:rPr>
                <w:bCs/>
              </w:rPr>
              <w:t>监测点位分别布设在</w:t>
            </w:r>
            <w:r>
              <w:rPr>
                <w:rFonts w:hint="eastAsia"/>
                <w:bCs/>
              </w:rPr>
              <w:t>住院部一层DSA手术室拟建地及周边环境</w:t>
            </w:r>
            <w:r>
              <w:rPr>
                <w:kern w:val="0"/>
              </w:rPr>
              <w:t>，监测点位</w:t>
            </w:r>
            <w:r>
              <w:rPr>
                <w:bCs/>
              </w:rPr>
              <w:t>布设情况详见图8-1。</w:t>
            </w:r>
          </w:p>
          <w:p>
            <w:pPr>
              <w:spacing w:line="360" w:lineRule="auto"/>
              <w:jc w:val="center"/>
              <w:rPr>
                <w:rFonts w:eastAsia="黑体"/>
                <w:bCs/>
                <w:sz w:val="21"/>
                <w:szCs w:val="21"/>
              </w:rPr>
            </w:pPr>
            <w:r>
              <w:rPr>
                <w:rFonts w:eastAsia="黑体"/>
                <w:bCs/>
                <w:sz w:val="21"/>
                <w:szCs w:val="21"/>
              </w:rPr>
              <w:t>图8-1  本项目拟建地监测点位布设示意图</w:t>
            </w:r>
          </w:p>
          <w:p>
            <w:pPr>
              <w:spacing w:line="360" w:lineRule="auto"/>
              <w:ind w:firstLine="480"/>
              <w:rPr>
                <w:b/>
                <w:bCs/>
              </w:rPr>
            </w:pPr>
            <w:r>
              <w:rPr>
                <w:b/>
                <w:bCs/>
              </w:rPr>
              <w:t>3、监测概况</w:t>
            </w:r>
          </w:p>
          <w:p>
            <w:pPr>
              <w:spacing w:line="360" w:lineRule="auto"/>
              <w:ind w:firstLine="480"/>
              <w:rPr>
                <w:bCs/>
              </w:rPr>
            </w:pPr>
            <w:r>
              <w:rPr>
                <w:bCs/>
              </w:rPr>
              <w:t>（1）监测日期</w:t>
            </w:r>
          </w:p>
          <w:p>
            <w:pPr>
              <w:spacing w:line="360" w:lineRule="auto"/>
              <w:ind w:firstLine="480"/>
              <w:rPr>
                <w:bCs/>
              </w:rPr>
            </w:pPr>
            <w:r>
              <w:rPr>
                <w:bCs/>
              </w:rPr>
              <w:t>2022年7月19日。</w:t>
            </w:r>
          </w:p>
          <w:p>
            <w:pPr>
              <w:spacing w:line="360" w:lineRule="auto"/>
              <w:ind w:firstLine="480"/>
              <w:rPr>
                <w:bCs/>
              </w:rPr>
            </w:pPr>
            <w:r>
              <w:rPr>
                <w:bCs/>
              </w:rPr>
              <w:t>（2）监测仪器</w:t>
            </w:r>
          </w:p>
          <w:p>
            <w:pPr>
              <w:tabs>
                <w:tab w:val="left" w:pos="6300"/>
              </w:tabs>
              <w:spacing w:line="440" w:lineRule="exact"/>
              <w:ind w:firstLine="465"/>
              <w:rPr>
                <w:rFonts w:eastAsia="仿宋"/>
                <w:color w:val="000000"/>
              </w:rPr>
            </w:pPr>
            <w:r>
              <w:rPr>
                <w:rFonts w:ascii="宋体" w:hAnsi="宋体"/>
                <w:color w:val="000000"/>
              </w:rPr>
              <w:t>本项目使用的监测仪器型号、测量范围以及仪器校准情况见表</w:t>
            </w:r>
            <w:r>
              <w:rPr>
                <w:rFonts w:hint="eastAsia" w:eastAsia="仿宋"/>
                <w:color w:val="000000"/>
              </w:rPr>
              <w:t>8</w:t>
            </w:r>
            <w:r>
              <w:rPr>
                <w:rFonts w:eastAsia="仿宋"/>
                <w:color w:val="000000"/>
              </w:rPr>
              <w:t>-</w:t>
            </w:r>
            <w:r>
              <w:rPr>
                <w:rFonts w:hint="eastAsia" w:eastAsia="仿宋"/>
                <w:color w:val="000000"/>
              </w:rPr>
              <w:t>1</w:t>
            </w:r>
            <w:r>
              <w:rPr>
                <w:rFonts w:eastAsia="仿宋"/>
                <w:color w:val="000000"/>
              </w:rPr>
              <w:t>。</w:t>
            </w:r>
          </w:p>
          <w:p>
            <w:pPr>
              <w:spacing w:line="500" w:lineRule="exact"/>
              <w:jc w:val="center"/>
              <w:rPr>
                <w:rFonts w:ascii="宋体" w:hAnsi="宋体"/>
                <w:b/>
                <w:color w:val="000000"/>
                <w:sz w:val="21"/>
                <w:szCs w:val="21"/>
              </w:rPr>
            </w:pPr>
            <w:r>
              <w:rPr>
                <w:rFonts w:ascii="宋体" w:hAnsi="宋体"/>
                <w:b/>
                <w:color w:val="000000"/>
                <w:sz w:val="21"/>
                <w:szCs w:val="21"/>
              </w:rPr>
              <w:t>表</w:t>
            </w:r>
            <w:r>
              <w:rPr>
                <w:rFonts w:hint="eastAsia" w:ascii="宋体" w:hAnsi="宋体"/>
                <w:b/>
                <w:color w:val="000000"/>
                <w:sz w:val="21"/>
                <w:szCs w:val="21"/>
              </w:rPr>
              <w:t>8</w:t>
            </w:r>
            <w:r>
              <w:rPr>
                <w:rFonts w:ascii="宋体" w:hAnsi="宋体"/>
                <w:b/>
                <w:color w:val="000000"/>
                <w:sz w:val="21"/>
                <w:szCs w:val="21"/>
              </w:rPr>
              <w:t>-</w:t>
            </w:r>
            <w:r>
              <w:rPr>
                <w:rFonts w:hint="eastAsia" w:ascii="宋体" w:hAnsi="宋体"/>
                <w:b/>
                <w:color w:val="000000"/>
                <w:sz w:val="21"/>
                <w:szCs w:val="21"/>
              </w:rPr>
              <w:t>1</w:t>
            </w:r>
            <w:r>
              <w:rPr>
                <w:rFonts w:ascii="宋体" w:hAnsi="宋体"/>
                <w:b/>
                <w:color w:val="000000"/>
                <w:sz w:val="21"/>
                <w:szCs w:val="21"/>
              </w:rPr>
              <w:t xml:space="preserve">  监测仪器、测量范围、监测方法及校准情况</w:t>
            </w:r>
          </w:p>
          <w:tbl>
            <w:tblPr>
              <w:tblStyle w:val="16"/>
              <w:tblW w:w="4946" w:type="pct"/>
              <w:tblInd w:w="13" w:type="dxa"/>
              <w:tblBorders>
                <w:top w:val="single" w:color="000000" w:sz="12" w:space="0"/>
                <w:left w:val="single" w:color="FFFFFF" w:sz="12" w:space="0"/>
                <w:bottom w:val="single" w:color="auto" w:sz="12" w:space="0"/>
                <w:right w:val="single" w:color="FFFFFF" w:sz="12" w:space="0"/>
                <w:insideH w:val="single" w:color="000000" w:sz="12" w:space="0"/>
                <w:insideV w:val="none" w:color="auto" w:sz="0" w:space="0"/>
              </w:tblBorders>
              <w:tblLayout w:type="fixed"/>
              <w:tblCellMar>
                <w:top w:w="0" w:type="dxa"/>
                <w:left w:w="28" w:type="dxa"/>
                <w:bottom w:w="0" w:type="dxa"/>
                <w:right w:w="28" w:type="dxa"/>
              </w:tblCellMar>
            </w:tblPr>
            <w:tblGrid>
              <w:gridCol w:w="612"/>
              <w:gridCol w:w="1889"/>
              <w:gridCol w:w="2402"/>
              <w:gridCol w:w="1038"/>
              <w:gridCol w:w="744"/>
              <w:gridCol w:w="1038"/>
              <w:gridCol w:w="925"/>
            </w:tblGrid>
            <w:tr>
              <w:tblPrEx>
                <w:tblBorders>
                  <w:top w:val="single" w:color="000000" w:sz="12" w:space="0"/>
                  <w:left w:val="single" w:color="FFFFFF" w:sz="12" w:space="0"/>
                  <w:bottom w:val="single" w:color="auto" w:sz="12" w:space="0"/>
                  <w:right w:val="single" w:color="FFFFFF" w:sz="12" w:space="0"/>
                  <w:insideH w:val="single" w:color="000000" w:sz="12" w:space="0"/>
                  <w:insideV w:val="none" w:color="auto" w:sz="0" w:space="0"/>
                </w:tblBorders>
                <w:tblCellMar>
                  <w:top w:w="0" w:type="dxa"/>
                  <w:left w:w="28" w:type="dxa"/>
                  <w:bottom w:w="0" w:type="dxa"/>
                  <w:right w:w="28" w:type="dxa"/>
                </w:tblCellMar>
              </w:tblPrEx>
              <w:trPr>
                <w:cantSplit/>
                <w:trHeight w:val="548" w:hRule="atLeast"/>
              </w:trPr>
              <w:tc>
                <w:tcPr>
                  <w:tcW w:w="354" w:type="pct"/>
                  <w:vAlign w:val="center"/>
                </w:tcPr>
                <w:p>
                  <w:pPr>
                    <w:adjustRightInd w:val="0"/>
                    <w:snapToGrid w:val="0"/>
                    <w:jc w:val="center"/>
                    <w:rPr>
                      <w:b/>
                      <w:sz w:val="21"/>
                      <w:szCs w:val="21"/>
                    </w:rPr>
                  </w:pPr>
                  <w:r>
                    <w:rPr>
                      <w:b/>
                      <w:sz w:val="21"/>
                      <w:szCs w:val="21"/>
                    </w:rPr>
                    <w:t>项目</w:t>
                  </w:r>
                </w:p>
              </w:tc>
              <w:tc>
                <w:tcPr>
                  <w:tcW w:w="1092" w:type="pct"/>
                  <w:vAlign w:val="center"/>
                </w:tcPr>
                <w:p>
                  <w:pPr>
                    <w:adjustRightInd w:val="0"/>
                    <w:snapToGrid w:val="0"/>
                    <w:jc w:val="center"/>
                    <w:rPr>
                      <w:b/>
                      <w:sz w:val="21"/>
                      <w:szCs w:val="21"/>
                    </w:rPr>
                  </w:pPr>
                  <w:r>
                    <w:rPr>
                      <w:b/>
                      <w:sz w:val="21"/>
                      <w:szCs w:val="21"/>
                    </w:rPr>
                    <w:t>监测方法</w:t>
                  </w:r>
                </w:p>
              </w:tc>
              <w:tc>
                <w:tcPr>
                  <w:tcW w:w="1389" w:type="pct"/>
                  <w:vAlign w:val="center"/>
                </w:tcPr>
                <w:p>
                  <w:pPr>
                    <w:adjustRightInd w:val="0"/>
                    <w:snapToGrid w:val="0"/>
                    <w:jc w:val="center"/>
                    <w:rPr>
                      <w:b/>
                      <w:sz w:val="21"/>
                      <w:szCs w:val="21"/>
                    </w:rPr>
                  </w:pPr>
                  <w:r>
                    <w:rPr>
                      <w:b/>
                      <w:sz w:val="21"/>
                      <w:szCs w:val="21"/>
                    </w:rPr>
                    <w:t>仪器名称及型号，</w:t>
                  </w:r>
                </w:p>
                <w:p>
                  <w:pPr>
                    <w:adjustRightInd w:val="0"/>
                    <w:snapToGrid w:val="0"/>
                    <w:jc w:val="center"/>
                    <w:rPr>
                      <w:b/>
                      <w:sz w:val="21"/>
                      <w:szCs w:val="21"/>
                    </w:rPr>
                  </w:pPr>
                  <w:r>
                    <w:rPr>
                      <w:b/>
                      <w:sz w:val="21"/>
                      <w:szCs w:val="21"/>
                    </w:rPr>
                    <w:t>设备编号</w:t>
                  </w:r>
                </w:p>
              </w:tc>
              <w:tc>
                <w:tcPr>
                  <w:tcW w:w="600" w:type="pct"/>
                  <w:vAlign w:val="center"/>
                </w:tcPr>
                <w:p>
                  <w:pPr>
                    <w:adjustRightInd w:val="0"/>
                    <w:snapToGrid w:val="0"/>
                    <w:jc w:val="center"/>
                    <w:rPr>
                      <w:b/>
                      <w:sz w:val="21"/>
                      <w:szCs w:val="21"/>
                    </w:rPr>
                  </w:pPr>
                  <w:r>
                    <w:rPr>
                      <w:b/>
                      <w:sz w:val="21"/>
                      <w:szCs w:val="21"/>
                    </w:rPr>
                    <w:t>测量</w:t>
                  </w:r>
                </w:p>
                <w:p>
                  <w:pPr>
                    <w:adjustRightInd w:val="0"/>
                    <w:snapToGrid w:val="0"/>
                    <w:jc w:val="center"/>
                    <w:rPr>
                      <w:b/>
                      <w:sz w:val="21"/>
                      <w:szCs w:val="21"/>
                    </w:rPr>
                  </w:pPr>
                  <w:r>
                    <w:rPr>
                      <w:b/>
                      <w:sz w:val="21"/>
                      <w:szCs w:val="21"/>
                    </w:rPr>
                    <w:t>范围</w:t>
                  </w:r>
                </w:p>
              </w:tc>
              <w:tc>
                <w:tcPr>
                  <w:tcW w:w="430" w:type="pct"/>
                  <w:vAlign w:val="center"/>
                </w:tcPr>
                <w:p>
                  <w:pPr>
                    <w:adjustRightInd w:val="0"/>
                    <w:snapToGrid w:val="0"/>
                    <w:jc w:val="center"/>
                    <w:rPr>
                      <w:b/>
                      <w:sz w:val="21"/>
                      <w:szCs w:val="21"/>
                    </w:rPr>
                  </w:pPr>
                  <w:r>
                    <w:rPr>
                      <w:b/>
                      <w:sz w:val="21"/>
                      <w:szCs w:val="21"/>
                    </w:rPr>
                    <w:t>校准</w:t>
                  </w:r>
                </w:p>
                <w:p>
                  <w:pPr>
                    <w:adjustRightInd w:val="0"/>
                    <w:snapToGrid w:val="0"/>
                    <w:jc w:val="center"/>
                    <w:rPr>
                      <w:b/>
                      <w:sz w:val="21"/>
                      <w:szCs w:val="21"/>
                    </w:rPr>
                  </w:pPr>
                  <w:r>
                    <w:rPr>
                      <w:b/>
                      <w:sz w:val="21"/>
                      <w:szCs w:val="21"/>
                    </w:rPr>
                    <w:t>单位</w:t>
                  </w:r>
                </w:p>
              </w:tc>
              <w:tc>
                <w:tcPr>
                  <w:tcW w:w="600" w:type="pct"/>
                  <w:vAlign w:val="center"/>
                </w:tcPr>
                <w:p>
                  <w:pPr>
                    <w:adjustRightInd w:val="0"/>
                    <w:snapToGrid w:val="0"/>
                    <w:jc w:val="center"/>
                    <w:rPr>
                      <w:b/>
                      <w:sz w:val="21"/>
                      <w:szCs w:val="21"/>
                    </w:rPr>
                  </w:pPr>
                  <w:r>
                    <w:rPr>
                      <w:b/>
                      <w:sz w:val="21"/>
                      <w:szCs w:val="21"/>
                    </w:rPr>
                    <w:t>校准证书</w:t>
                  </w:r>
                </w:p>
                <w:p>
                  <w:pPr>
                    <w:adjustRightInd w:val="0"/>
                    <w:snapToGrid w:val="0"/>
                    <w:jc w:val="center"/>
                    <w:rPr>
                      <w:b/>
                      <w:sz w:val="21"/>
                      <w:szCs w:val="21"/>
                    </w:rPr>
                  </w:pPr>
                  <w:r>
                    <w:rPr>
                      <w:b/>
                      <w:sz w:val="21"/>
                      <w:szCs w:val="21"/>
                    </w:rPr>
                    <w:t>编号</w:t>
                  </w:r>
                </w:p>
              </w:tc>
              <w:tc>
                <w:tcPr>
                  <w:tcW w:w="536" w:type="pct"/>
                  <w:vAlign w:val="center"/>
                </w:tcPr>
                <w:p>
                  <w:pPr>
                    <w:adjustRightInd w:val="0"/>
                    <w:snapToGrid w:val="0"/>
                    <w:jc w:val="center"/>
                    <w:rPr>
                      <w:b/>
                      <w:sz w:val="21"/>
                      <w:szCs w:val="21"/>
                    </w:rPr>
                  </w:pPr>
                  <w:r>
                    <w:rPr>
                      <w:b/>
                      <w:sz w:val="21"/>
                      <w:szCs w:val="21"/>
                    </w:rPr>
                    <w:t>校准证书有效期</w:t>
                  </w:r>
                </w:p>
              </w:tc>
            </w:tr>
            <w:tr>
              <w:tblPrEx>
                <w:tblBorders>
                  <w:top w:val="single" w:color="000000" w:sz="12" w:space="0"/>
                  <w:left w:val="single" w:color="FFFFFF" w:sz="12" w:space="0"/>
                  <w:bottom w:val="single" w:color="auto" w:sz="12" w:space="0"/>
                  <w:right w:val="single" w:color="FFFFFF" w:sz="12" w:space="0"/>
                  <w:insideH w:val="single" w:color="000000" w:sz="12" w:space="0"/>
                  <w:insideV w:val="none" w:color="auto" w:sz="0" w:space="0"/>
                </w:tblBorders>
                <w:tblCellMar>
                  <w:top w:w="0" w:type="dxa"/>
                  <w:left w:w="28" w:type="dxa"/>
                  <w:bottom w:w="0" w:type="dxa"/>
                  <w:right w:w="28" w:type="dxa"/>
                </w:tblCellMar>
              </w:tblPrEx>
              <w:trPr>
                <w:cantSplit/>
                <w:trHeight w:val="1180" w:hRule="atLeast"/>
              </w:trPr>
              <w:tc>
                <w:tcPr>
                  <w:tcW w:w="354" w:type="pct"/>
                  <w:vAlign w:val="center"/>
                </w:tcPr>
                <w:p>
                  <w:pPr>
                    <w:jc w:val="center"/>
                    <w:outlineLvl w:val="0"/>
                    <w:rPr>
                      <w:sz w:val="21"/>
                      <w:szCs w:val="21"/>
                    </w:rPr>
                  </w:pPr>
                  <w:r>
                    <w:rPr>
                      <w:color w:val="000000"/>
                      <w:sz w:val="21"/>
                      <w:szCs w:val="21"/>
                    </w:rPr>
                    <w:t>X-γ辐射剂量</w:t>
                  </w:r>
                  <w:r>
                    <w:rPr>
                      <w:rFonts w:hint="eastAsia"/>
                      <w:color w:val="000000"/>
                      <w:sz w:val="21"/>
                      <w:szCs w:val="21"/>
                    </w:rPr>
                    <w:t>率</w:t>
                  </w:r>
                </w:p>
              </w:tc>
              <w:tc>
                <w:tcPr>
                  <w:tcW w:w="1092" w:type="pct"/>
                  <w:shd w:val="clear" w:color="auto" w:fill="auto"/>
                  <w:vAlign w:val="center"/>
                </w:tcPr>
                <w:p>
                  <w:pPr>
                    <w:adjustRightInd w:val="0"/>
                    <w:snapToGrid w:val="0"/>
                    <w:jc w:val="center"/>
                    <w:outlineLvl w:val="0"/>
                    <w:rPr>
                      <w:sz w:val="21"/>
                      <w:szCs w:val="21"/>
                    </w:rPr>
                  </w:pPr>
                  <w:r>
                    <w:rPr>
                      <w:bCs/>
                      <w:color w:val="000000"/>
                      <w:sz w:val="21"/>
                      <w:szCs w:val="21"/>
                    </w:rPr>
                    <w:t>《环境γ辐射剂量率测量技术规范》（HJ 1157-2021）</w:t>
                  </w:r>
                </w:p>
              </w:tc>
              <w:tc>
                <w:tcPr>
                  <w:tcW w:w="1389" w:type="pct"/>
                  <w:shd w:val="clear" w:color="auto" w:fill="auto"/>
                  <w:vAlign w:val="center"/>
                </w:tcPr>
                <w:p>
                  <w:pPr>
                    <w:adjustRightInd w:val="0"/>
                    <w:snapToGrid w:val="0"/>
                    <w:jc w:val="center"/>
                    <w:outlineLvl w:val="0"/>
                    <w:rPr>
                      <w:sz w:val="21"/>
                    </w:rPr>
                  </w:pPr>
                  <w:r>
                    <w:rPr>
                      <w:rFonts w:hint="eastAsia"/>
                      <w:sz w:val="21"/>
                    </w:rPr>
                    <w:t>环境监测</w:t>
                  </w:r>
                  <w:r>
                    <w:rPr>
                      <w:sz w:val="21"/>
                    </w:rPr>
                    <w:t>X-γ</w:t>
                  </w:r>
                  <w:r>
                    <w:rPr>
                      <w:rFonts w:hint="eastAsia"/>
                      <w:sz w:val="21"/>
                    </w:rPr>
                    <w:t>辐射空气吸收剂量率仪</w:t>
                  </w:r>
                  <w:r>
                    <w:rPr>
                      <w:sz w:val="21"/>
                    </w:rPr>
                    <w:t>（JB4000）</w:t>
                  </w:r>
                </w:p>
                <w:p>
                  <w:pPr>
                    <w:adjustRightInd w:val="0"/>
                    <w:snapToGrid w:val="0"/>
                    <w:jc w:val="center"/>
                    <w:outlineLvl w:val="0"/>
                    <w:rPr>
                      <w:sz w:val="21"/>
                    </w:rPr>
                  </w:pPr>
                  <w:r>
                    <w:rPr>
                      <w:rFonts w:hint="eastAsia"/>
                      <w:sz w:val="21"/>
                    </w:rPr>
                    <w:t>编号：</w:t>
                  </w:r>
                  <w:r>
                    <w:rPr>
                      <w:sz w:val="21"/>
                    </w:rPr>
                    <w:t>SXJW-YQ-H01</w:t>
                  </w:r>
                </w:p>
              </w:tc>
              <w:tc>
                <w:tcPr>
                  <w:tcW w:w="600" w:type="pct"/>
                  <w:vAlign w:val="center"/>
                </w:tcPr>
                <w:p>
                  <w:pPr>
                    <w:jc w:val="center"/>
                    <w:rPr>
                      <w:sz w:val="21"/>
                    </w:rPr>
                  </w:pPr>
                  <w:r>
                    <w:rPr>
                      <w:sz w:val="21"/>
                    </w:rPr>
                    <w:t>0.01μGy/h～</w:t>
                  </w:r>
                </w:p>
                <w:p>
                  <w:pPr>
                    <w:adjustRightInd w:val="0"/>
                    <w:snapToGrid w:val="0"/>
                    <w:jc w:val="center"/>
                    <w:outlineLvl w:val="0"/>
                    <w:rPr>
                      <w:sz w:val="21"/>
                      <w:szCs w:val="21"/>
                    </w:rPr>
                  </w:pPr>
                  <w:r>
                    <w:rPr>
                      <w:sz w:val="21"/>
                    </w:rPr>
                    <w:t>600μSv/h</w:t>
                  </w:r>
                </w:p>
              </w:tc>
              <w:tc>
                <w:tcPr>
                  <w:tcW w:w="430" w:type="pct"/>
                  <w:vAlign w:val="center"/>
                </w:tcPr>
                <w:p>
                  <w:pPr>
                    <w:adjustRightInd w:val="0"/>
                    <w:snapToGrid w:val="0"/>
                    <w:jc w:val="center"/>
                    <w:outlineLvl w:val="0"/>
                    <w:rPr>
                      <w:sz w:val="21"/>
                      <w:szCs w:val="21"/>
                    </w:rPr>
                  </w:pPr>
                  <w:r>
                    <w:rPr>
                      <w:sz w:val="21"/>
                    </w:rPr>
                    <w:t>中国计量科学研究院</w:t>
                  </w:r>
                </w:p>
              </w:tc>
              <w:tc>
                <w:tcPr>
                  <w:tcW w:w="600" w:type="pct"/>
                  <w:vAlign w:val="center"/>
                </w:tcPr>
                <w:p>
                  <w:pPr>
                    <w:adjustRightInd w:val="0"/>
                    <w:snapToGrid w:val="0"/>
                    <w:jc w:val="center"/>
                    <w:outlineLvl w:val="0"/>
                    <w:rPr>
                      <w:sz w:val="21"/>
                      <w:szCs w:val="21"/>
                    </w:rPr>
                  </w:pPr>
                  <w:r>
                    <w:rPr>
                      <w:sz w:val="21"/>
                    </w:rPr>
                    <w:t>DLjl2023-04073</w:t>
                  </w:r>
                </w:p>
              </w:tc>
              <w:tc>
                <w:tcPr>
                  <w:tcW w:w="536" w:type="pct"/>
                  <w:vAlign w:val="center"/>
                </w:tcPr>
                <w:p>
                  <w:pPr>
                    <w:jc w:val="center"/>
                    <w:rPr>
                      <w:sz w:val="21"/>
                    </w:rPr>
                  </w:pPr>
                  <w:r>
                    <w:rPr>
                      <w:sz w:val="21"/>
                    </w:rPr>
                    <w:t>2023.3.27</w:t>
                  </w:r>
                </w:p>
                <w:p>
                  <w:pPr>
                    <w:jc w:val="center"/>
                    <w:rPr>
                      <w:sz w:val="21"/>
                    </w:rPr>
                  </w:pPr>
                  <w:r>
                    <w:rPr>
                      <w:sz w:val="21"/>
                    </w:rPr>
                    <w:t>～</w:t>
                  </w:r>
                </w:p>
                <w:p>
                  <w:pPr>
                    <w:adjustRightInd w:val="0"/>
                    <w:snapToGrid w:val="0"/>
                    <w:jc w:val="center"/>
                    <w:outlineLvl w:val="0"/>
                    <w:rPr>
                      <w:sz w:val="21"/>
                      <w:szCs w:val="21"/>
                    </w:rPr>
                  </w:pPr>
                  <w:r>
                    <w:rPr>
                      <w:sz w:val="21"/>
                    </w:rPr>
                    <w:t>2024.3.26</w:t>
                  </w:r>
                </w:p>
              </w:tc>
            </w:tr>
          </w:tbl>
          <w:p>
            <w:pPr>
              <w:spacing w:line="360" w:lineRule="auto"/>
              <w:ind w:firstLine="480"/>
              <w:rPr>
                <w:bCs/>
              </w:rPr>
            </w:pPr>
            <w:r>
              <w:rPr>
                <w:bCs/>
              </w:rPr>
              <w:t>（3）</w:t>
            </w:r>
            <w:r>
              <w:rPr>
                <w:rFonts w:hint="eastAsia"/>
                <w:bCs/>
              </w:rPr>
              <w:t>陕西省西安市原野、道路、建筑物室内</w:t>
            </w:r>
            <w:r>
              <w:rPr>
                <w:bCs/>
              </w:rPr>
              <w:t>γ</w:t>
            </w:r>
            <w:r>
              <w:rPr>
                <w:rFonts w:hint="eastAsia"/>
                <w:bCs/>
              </w:rPr>
              <w:t>辐射剂量率</w:t>
            </w:r>
          </w:p>
          <w:p>
            <w:pPr>
              <w:spacing w:line="360" w:lineRule="auto"/>
              <w:ind w:firstLine="360" w:firstLineChars="150"/>
            </w:pPr>
            <w:r>
              <w:rPr>
                <w:color w:val="000000"/>
              </w:rPr>
              <w:t>《</w:t>
            </w:r>
            <w:r>
              <w:rPr>
                <w:rFonts w:hint="eastAsia"/>
                <w:color w:val="000000"/>
              </w:rPr>
              <w:t>陕西省环境天然贯穿辐射水平调查研究</w:t>
            </w:r>
            <w:r>
              <w:rPr>
                <w:color w:val="000000"/>
              </w:rPr>
              <w:t>》（</w:t>
            </w:r>
            <w:r>
              <w:rPr>
                <w:rFonts w:hint="eastAsia"/>
                <w:color w:val="000000"/>
              </w:rPr>
              <w:t>辐射防护，第1</w:t>
            </w:r>
            <w:r>
              <w:rPr>
                <w:color w:val="000000"/>
              </w:rPr>
              <w:t>4</w:t>
            </w:r>
            <w:r>
              <w:rPr>
                <w:rFonts w:hint="eastAsia"/>
                <w:color w:val="000000"/>
              </w:rPr>
              <w:t>卷第4期，1</w:t>
            </w:r>
            <w:r>
              <w:rPr>
                <w:color w:val="000000"/>
              </w:rPr>
              <w:t>997</w:t>
            </w:r>
            <w:r>
              <w:rPr>
                <w:rFonts w:hint="eastAsia"/>
                <w:color w:val="000000"/>
              </w:rPr>
              <w:t>年7月</w:t>
            </w:r>
            <w:r>
              <w:rPr>
                <w:color w:val="000000"/>
              </w:rPr>
              <w:t>）。</w:t>
            </w:r>
            <w:r>
              <w:rPr>
                <w:rFonts w:hint="eastAsia"/>
                <w:color w:val="000000"/>
              </w:rPr>
              <w:t>陕西省西安市原野、道路、建筑物室内γ辐射剂量率</w:t>
            </w:r>
            <w:r>
              <w:rPr>
                <w:color w:val="000000"/>
              </w:rPr>
              <w:t>调查结果见表</w:t>
            </w:r>
            <w:r>
              <w:rPr>
                <w:rFonts w:hint="eastAsia"/>
                <w:color w:val="000000"/>
              </w:rPr>
              <w:t>8</w:t>
            </w:r>
            <w:r>
              <w:rPr>
                <w:color w:val="000000"/>
              </w:rPr>
              <w:t>-</w:t>
            </w:r>
            <w:r>
              <w:rPr>
                <w:rFonts w:hint="eastAsia"/>
                <w:color w:val="000000"/>
              </w:rPr>
              <w:t>2</w:t>
            </w:r>
            <w:r>
              <w:rPr>
                <w:color w:val="000000"/>
              </w:rPr>
              <w:t>。</w:t>
            </w:r>
          </w:p>
          <w:p>
            <w:pPr>
              <w:ind w:firstLine="482"/>
              <w:jc w:val="center"/>
              <w:rPr>
                <w:rFonts w:ascii="宋体" w:hAnsi="宋体"/>
                <w:b/>
                <w:color w:val="000000"/>
                <w:sz w:val="21"/>
                <w:szCs w:val="21"/>
              </w:rPr>
            </w:pPr>
            <w:r>
              <w:rPr>
                <w:rFonts w:ascii="宋体" w:hAnsi="宋体"/>
                <w:b/>
                <w:color w:val="000000"/>
                <w:sz w:val="21"/>
                <w:szCs w:val="21"/>
              </w:rPr>
              <w:t>表</w:t>
            </w:r>
            <w:r>
              <w:rPr>
                <w:b/>
                <w:color w:val="000000"/>
                <w:sz w:val="21"/>
                <w:szCs w:val="21"/>
              </w:rPr>
              <w:t xml:space="preserve">8-2 </w:t>
            </w:r>
            <w:r>
              <w:rPr>
                <w:rFonts w:ascii="宋体" w:hAnsi="宋体"/>
                <w:b/>
                <w:color w:val="000000"/>
                <w:sz w:val="21"/>
                <w:szCs w:val="21"/>
              </w:rPr>
              <w:t xml:space="preserve"> </w:t>
            </w:r>
            <w:r>
              <w:rPr>
                <w:rFonts w:hint="eastAsia" w:ascii="宋体" w:hAnsi="宋体"/>
                <w:b/>
                <w:color w:val="000000"/>
                <w:sz w:val="21"/>
                <w:szCs w:val="21"/>
              </w:rPr>
              <w:t>陕西省西安市原野、道路、建筑物室内γ辐射剂量率</w:t>
            </w:r>
            <w:r>
              <w:rPr>
                <w:rFonts w:ascii="宋体" w:hAnsi="宋体"/>
                <w:b/>
                <w:color w:val="000000"/>
                <w:sz w:val="21"/>
                <w:szCs w:val="21"/>
              </w:rPr>
              <w:t>调查结果</w:t>
            </w:r>
            <w:r>
              <w:rPr>
                <w:b/>
                <w:color w:val="000000"/>
                <w:sz w:val="21"/>
                <w:szCs w:val="21"/>
              </w:rPr>
              <w:t>（nGy/h）</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095"/>
              <w:gridCol w:w="2095"/>
              <w:gridCol w:w="20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00" w:type="dxa"/>
                  <w:tcBorders>
                    <w:left w:val="single" w:color="FFFFFF" w:sz="2" w:space="0"/>
                    <w:bottom w:val="single" w:color="000000" w:sz="12" w:space="0"/>
                  </w:tcBorders>
                  <w:vAlign w:val="center"/>
                </w:tcPr>
                <w:p>
                  <w:pPr>
                    <w:pStyle w:val="53"/>
                    <w:spacing w:line="240" w:lineRule="auto"/>
                    <w:rPr>
                      <w:color w:val="000000"/>
                    </w:rPr>
                  </w:pPr>
                  <w:r>
                    <w:rPr>
                      <w:color w:val="000000"/>
                    </w:rPr>
                    <w:t>项  目</w:t>
                  </w:r>
                </w:p>
              </w:tc>
              <w:tc>
                <w:tcPr>
                  <w:tcW w:w="2095" w:type="dxa"/>
                  <w:tcBorders>
                    <w:bottom w:val="single" w:color="000000" w:sz="12" w:space="0"/>
                  </w:tcBorders>
                  <w:vAlign w:val="center"/>
                </w:tcPr>
                <w:p>
                  <w:pPr>
                    <w:pStyle w:val="53"/>
                    <w:spacing w:line="240" w:lineRule="auto"/>
                    <w:rPr>
                      <w:color w:val="000000"/>
                    </w:rPr>
                  </w:pPr>
                  <w:r>
                    <w:rPr>
                      <w:color w:val="000000"/>
                    </w:rPr>
                    <w:t>原   野</w:t>
                  </w:r>
                </w:p>
              </w:tc>
              <w:tc>
                <w:tcPr>
                  <w:tcW w:w="2095" w:type="dxa"/>
                  <w:tcBorders>
                    <w:bottom w:val="single" w:color="000000" w:sz="12" w:space="0"/>
                  </w:tcBorders>
                  <w:vAlign w:val="center"/>
                </w:tcPr>
                <w:p>
                  <w:pPr>
                    <w:pStyle w:val="53"/>
                    <w:spacing w:line="240" w:lineRule="auto"/>
                    <w:rPr>
                      <w:color w:val="000000"/>
                    </w:rPr>
                  </w:pPr>
                  <w:r>
                    <w:rPr>
                      <w:color w:val="000000"/>
                    </w:rPr>
                    <w:t>道   路</w:t>
                  </w:r>
                </w:p>
              </w:tc>
              <w:tc>
                <w:tcPr>
                  <w:tcW w:w="2096" w:type="dxa"/>
                  <w:tcBorders>
                    <w:bottom w:val="single" w:color="000000" w:sz="12" w:space="0"/>
                    <w:right w:val="single" w:color="FFFFFF" w:sz="2" w:space="0"/>
                  </w:tcBorders>
                  <w:vAlign w:val="center"/>
                </w:tcPr>
                <w:p>
                  <w:pPr>
                    <w:pStyle w:val="53"/>
                    <w:spacing w:line="240" w:lineRule="auto"/>
                    <w:rPr>
                      <w:color w:val="000000"/>
                    </w:rPr>
                  </w:pPr>
                  <w:r>
                    <w:rPr>
                      <w:color w:val="000000"/>
                    </w:rPr>
                    <w:t>室  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00" w:type="dxa"/>
                  <w:tcBorders>
                    <w:top w:val="single" w:color="000000" w:sz="12" w:space="0"/>
                    <w:left w:val="single" w:color="FFFFFF" w:sz="2" w:space="0"/>
                  </w:tcBorders>
                  <w:vAlign w:val="center"/>
                </w:tcPr>
                <w:p>
                  <w:pPr>
                    <w:pStyle w:val="53"/>
                    <w:spacing w:line="240" w:lineRule="auto"/>
                    <w:rPr>
                      <w:color w:val="000000"/>
                    </w:rPr>
                  </w:pPr>
                  <w:r>
                    <w:rPr>
                      <w:color w:val="000000"/>
                    </w:rPr>
                    <w:t>范  围</w:t>
                  </w:r>
                </w:p>
              </w:tc>
              <w:tc>
                <w:tcPr>
                  <w:tcW w:w="2095" w:type="dxa"/>
                  <w:tcBorders>
                    <w:top w:val="single" w:color="000000" w:sz="12" w:space="0"/>
                  </w:tcBorders>
                  <w:vAlign w:val="center"/>
                </w:tcPr>
                <w:p>
                  <w:pPr>
                    <w:pStyle w:val="53"/>
                    <w:spacing w:line="240" w:lineRule="auto"/>
                    <w:rPr>
                      <w:color w:val="000000"/>
                    </w:rPr>
                  </w:pPr>
                  <w:r>
                    <w:rPr>
                      <w:color w:val="000000"/>
                    </w:rPr>
                    <w:t>50</w:t>
                  </w:r>
                  <w:r>
                    <w:rPr>
                      <w:rFonts w:hint="eastAsia"/>
                      <w:color w:val="000000"/>
                    </w:rPr>
                    <w:t>～1</w:t>
                  </w:r>
                  <w:r>
                    <w:rPr>
                      <w:color w:val="000000"/>
                    </w:rPr>
                    <w:t>17</w:t>
                  </w:r>
                </w:p>
              </w:tc>
              <w:tc>
                <w:tcPr>
                  <w:tcW w:w="2095" w:type="dxa"/>
                  <w:tcBorders>
                    <w:top w:val="single" w:color="000000" w:sz="12" w:space="0"/>
                  </w:tcBorders>
                  <w:vAlign w:val="center"/>
                </w:tcPr>
                <w:p>
                  <w:pPr>
                    <w:pStyle w:val="53"/>
                    <w:spacing w:line="240" w:lineRule="auto"/>
                    <w:rPr>
                      <w:color w:val="000000"/>
                    </w:rPr>
                  </w:pPr>
                  <w:r>
                    <w:rPr>
                      <w:color w:val="000000"/>
                    </w:rPr>
                    <w:t>52</w:t>
                  </w:r>
                  <w:r>
                    <w:rPr>
                      <w:rFonts w:hint="eastAsia"/>
                      <w:color w:val="000000"/>
                    </w:rPr>
                    <w:t>～1</w:t>
                  </w:r>
                  <w:r>
                    <w:rPr>
                      <w:color w:val="000000"/>
                    </w:rPr>
                    <w:t>21</w:t>
                  </w:r>
                </w:p>
              </w:tc>
              <w:tc>
                <w:tcPr>
                  <w:tcW w:w="2096" w:type="dxa"/>
                  <w:tcBorders>
                    <w:top w:val="single" w:color="000000" w:sz="12" w:space="0"/>
                    <w:right w:val="single" w:color="FFFFFF" w:sz="2" w:space="0"/>
                  </w:tcBorders>
                  <w:vAlign w:val="center"/>
                </w:tcPr>
                <w:p>
                  <w:pPr>
                    <w:pStyle w:val="53"/>
                    <w:spacing w:line="240" w:lineRule="auto"/>
                    <w:rPr>
                      <w:color w:val="000000"/>
                    </w:rPr>
                  </w:pPr>
                  <w:r>
                    <w:rPr>
                      <w:color w:val="000000"/>
                    </w:rPr>
                    <w:t>79</w:t>
                  </w:r>
                  <w:r>
                    <w:rPr>
                      <w:rFonts w:hint="eastAsia"/>
                      <w:color w:val="000000"/>
                    </w:rPr>
                    <w:t>～1</w:t>
                  </w:r>
                  <w:r>
                    <w:rPr>
                      <w:color w:val="000000"/>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00" w:type="dxa"/>
                  <w:tcBorders>
                    <w:left w:val="single" w:color="FFFFFF" w:sz="2" w:space="0"/>
                  </w:tcBorders>
                  <w:vAlign w:val="center"/>
                </w:tcPr>
                <w:p>
                  <w:pPr>
                    <w:pStyle w:val="53"/>
                    <w:spacing w:line="240" w:lineRule="auto"/>
                    <w:rPr>
                      <w:color w:val="000000"/>
                    </w:rPr>
                  </w:pPr>
                  <w:r>
                    <w:rPr>
                      <w:color w:val="000000"/>
                    </w:rPr>
                    <w:t>均  值</w:t>
                  </w:r>
                </w:p>
              </w:tc>
              <w:tc>
                <w:tcPr>
                  <w:tcW w:w="2095" w:type="dxa"/>
                  <w:vAlign w:val="center"/>
                </w:tcPr>
                <w:p>
                  <w:pPr>
                    <w:pStyle w:val="53"/>
                    <w:spacing w:line="240" w:lineRule="auto"/>
                    <w:rPr>
                      <w:color w:val="000000"/>
                    </w:rPr>
                  </w:pPr>
                  <w:r>
                    <w:rPr>
                      <w:color w:val="000000"/>
                    </w:rPr>
                    <w:t>71</w:t>
                  </w:r>
                </w:p>
              </w:tc>
              <w:tc>
                <w:tcPr>
                  <w:tcW w:w="2095" w:type="dxa"/>
                  <w:vAlign w:val="center"/>
                </w:tcPr>
                <w:p>
                  <w:pPr>
                    <w:pStyle w:val="53"/>
                    <w:spacing w:line="240" w:lineRule="auto"/>
                    <w:rPr>
                      <w:color w:val="000000"/>
                    </w:rPr>
                  </w:pPr>
                  <w:r>
                    <w:rPr>
                      <w:color w:val="000000"/>
                    </w:rPr>
                    <w:t>76</w:t>
                  </w:r>
                </w:p>
              </w:tc>
              <w:tc>
                <w:tcPr>
                  <w:tcW w:w="2096" w:type="dxa"/>
                  <w:tcBorders>
                    <w:right w:val="single" w:color="FFFFFF" w:sz="2" w:space="0"/>
                  </w:tcBorders>
                  <w:vAlign w:val="center"/>
                </w:tcPr>
                <w:p>
                  <w:pPr>
                    <w:pStyle w:val="53"/>
                    <w:spacing w:line="240" w:lineRule="auto"/>
                    <w:rPr>
                      <w:color w:val="000000"/>
                    </w:rPr>
                  </w:pPr>
                  <w:r>
                    <w:rPr>
                      <w:color w:val="000000"/>
                    </w:rPr>
                    <w:t>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00" w:type="dxa"/>
                  <w:tcBorders>
                    <w:left w:val="single" w:color="FFFFFF" w:sz="2" w:space="0"/>
                  </w:tcBorders>
                  <w:vAlign w:val="center"/>
                </w:tcPr>
                <w:p>
                  <w:pPr>
                    <w:pStyle w:val="53"/>
                    <w:spacing w:line="240" w:lineRule="auto"/>
                    <w:rPr>
                      <w:color w:val="000000"/>
                    </w:rPr>
                  </w:pPr>
                  <w:r>
                    <w:rPr>
                      <w:color w:val="000000"/>
                    </w:rPr>
                    <w:t>标准差</w:t>
                  </w:r>
                </w:p>
              </w:tc>
              <w:tc>
                <w:tcPr>
                  <w:tcW w:w="2095" w:type="dxa"/>
                  <w:vAlign w:val="center"/>
                </w:tcPr>
                <w:p>
                  <w:pPr>
                    <w:pStyle w:val="53"/>
                    <w:spacing w:line="240" w:lineRule="auto"/>
                    <w:rPr>
                      <w:color w:val="000000"/>
                    </w:rPr>
                  </w:pPr>
                  <w:r>
                    <w:rPr>
                      <w:color w:val="000000"/>
                    </w:rPr>
                    <w:t>17</w:t>
                  </w:r>
                </w:p>
              </w:tc>
              <w:tc>
                <w:tcPr>
                  <w:tcW w:w="2095" w:type="dxa"/>
                  <w:vAlign w:val="center"/>
                </w:tcPr>
                <w:p>
                  <w:pPr>
                    <w:pStyle w:val="53"/>
                    <w:spacing w:line="240" w:lineRule="auto"/>
                    <w:rPr>
                      <w:color w:val="000000"/>
                    </w:rPr>
                  </w:pPr>
                  <w:r>
                    <w:rPr>
                      <w:color w:val="000000"/>
                    </w:rPr>
                    <w:t>20</w:t>
                  </w:r>
                </w:p>
              </w:tc>
              <w:tc>
                <w:tcPr>
                  <w:tcW w:w="2096" w:type="dxa"/>
                  <w:tcBorders>
                    <w:right w:val="single" w:color="FFFFFF" w:sz="2" w:space="0"/>
                  </w:tcBorders>
                  <w:vAlign w:val="center"/>
                </w:tcPr>
                <w:p>
                  <w:pPr>
                    <w:pStyle w:val="53"/>
                    <w:spacing w:line="240" w:lineRule="auto"/>
                    <w:rPr>
                      <w:color w:val="000000"/>
                    </w:rPr>
                  </w:pPr>
                  <w:r>
                    <w:rPr>
                      <w:color w:val="000000"/>
                    </w:rPr>
                    <w:t>19</w:t>
                  </w:r>
                </w:p>
              </w:tc>
            </w:tr>
          </w:tbl>
          <w:p>
            <w:pPr>
              <w:spacing w:line="360" w:lineRule="auto"/>
              <w:ind w:firstLine="480"/>
              <w:rPr>
                <w:bCs/>
              </w:rPr>
            </w:pPr>
            <w:r>
              <w:rPr>
                <w:rFonts w:hint="eastAsia"/>
                <w:color w:val="000000"/>
                <w:sz w:val="18"/>
                <w:szCs w:val="18"/>
              </w:rPr>
              <w:t>说明：表中结果已扣除仪器对宇宙射线响应值。</w:t>
            </w:r>
            <w:r>
              <w:rPr>
                <w:bCs/>
              </w:rPr>
              <w:t xml:space="preserve"> </w:t>
            </w:r>
          </w:p>
          <w:p>
            <w:pPr>
              <w:spacing w:line="360" w:lineRule="auto"/>
              <w:ind w:firstLine="480"/>
              <w:rPr>
                <w:bCs/>
              </w:rPr>
            </w:pPr>
            <w:r>
              <w:rPr>
                <w:bCs/>
              </w:rPr>
              <w:t>（4）质量保证</w:t>
            </w:r>
          </w:p>
          <w:p>
            <w:pPr>
              <w:spacing w:line="360" w:lineRule="auto"/>
              <w:ind w:firstLine="480"/>
              <w:rPr>
                <w:bCs/>
              </w:rPr>
            </w:pPr>
            <w:r>
              <w:rPr>
                <w:rFonts w:hint="eastAsia"/>
                <w:bCs/>
              </w:rPr>
              <w:t>《环境γ辐射剂量率测量技术规范》（HJ1157-2021）</w:t>
            </w:r>
            <w:r>
              <w:rPr>
                <w:bCs/>
              </w:rPr>
              <w:t>的要求，实施监测全过程质量控制。合理布设监测点位，保证各监测点位布设具有代表性、科学性和可比性。所用监测仪器全部经过计量部门检定，并在有效期内。监测数据严格实行三级审核制度。</w:t>
            </w:r>
          </w:p>
          <w:p>
            <w:pPr>
              <w:spacing w:line="360" w:lineRule="auto"/>
              <w:ind w:firstLine="482" w:firstLineChars="200"/>
              <w:rPr>
                <w:b/>
                <w:bCs/>
              </w:rPr>
            </w:pPr>
            <w:r>
              <w:rPr>
                <w:b/>
                <w:bCs/>
              </w:rPr>
              <w:t>4、辐射环境质量现状</w:t>
            </w:r>
          </w:p>
          <w:p>
            <w:pPr>
              <w:keepLines/>
              <w:spacing w:line="360" w:lineRule="auto"/>
              <w:ind w:right="17" w:firstLine="480" w:firstLineChars="200"/>
            </w:pPr>
            <w:r>
              <w:t>本项目辐射环境质量现状监测结果见表8-3。</w:t>
            </w:r>
          </w:p>
          <w:p>
            <w:pPr>
              <w:spacing w:line="500" w:lineRule="exact"/>
              <w:rPr>
                <w:rFonts w:eastAsia="仿宋"/>
                <w:b/>
                <w:color w:val="000000"/>
              </w:rPr>
            </w:pPr>
          </w:p>
          <w:p>
            <w:pPr>
              <w:pStyle w:val="2"/>
              <w:ind w:firstLine="480"/>
              <w:rPr>
                <w:rFonts w:eastAsiaTheme="minorEastAsia"/>
              </w:rPr>
            </w:pPr>
          </w:p>
          <w:p>
            <w:pPr>
              <w:spacing w:line="500" w:lineRule="exact"/>
              <w:jc w:val="center"/>
              <w:rPr>
                <w:b/>
                <w:color w:val="000000"/>
                <w:sz w:val="21"/>
                <w:szCs w:val="21"/>
              </w:rPr>
            </w:pPr>
            <w:r>
              <w:rPr>
                <w:rFonts w:hint="eastAsia"/>
                <w:b/>
                <w:color w:val="000000"/>
                <w:sz w:val="21"/>
                <w:szCs w:val="21"/>
              </w:rPr>
              <w:t>表8</w:t>
            </w:r>
            <w:r>
              <w:rPr>
                <w:b/>
                <w:color w:val="000000"/>
                <w:sz w:val="21"/>
                <w:szCs w:val="21"/>
              </w:rPr>
              <w:t>-3</w:t>
            </w:r>
            <w:r>
              <w:rPr>
                <w:rFonts w:hint="eastAsia"/>
                <w:b/>
                <w:color w:val="000000"/>
                <w:sz w:val="21"/>
                <w:szCs w:val="21"/>
              </w:rPr>
              <w:t xml:space="preserve">  项目所在地以及周边环境X</w:t>
            </w:r>
            <w:r>
              <w:rPr>
                <w:b/>
                <w:color w:val="000000"/>
                <w:sz w:val="21"/>
                <w:szCs w:val="21"/>
              </w:rPr>
              <w:t>-γ</w:t>
            </w:r>
            <w:r>
              <w:rPr>
                <w:rFonts w:hint="eastAsia"/>
                <w:b/>
                <w:color w:val="000000"/>
                <w:sz w:val="21"/>
                <w:szCs w:val="21"/>
              </w:rPr>
              <w:t>辐射剂量率监测结果</w:t>
            </w:r>
          </w:p>
          <w:tbl>
            <w:tblPr>
              <w:tblStyle w:val="16"/>
              <w:tblW w:w="73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7"/>
              <w:gridCol w:w="3745"/>
              <w:gridCol w:w="28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97" w:type="dxa"/>
                  <w:vMerge w:val="restart"/>
                  <w:tcBorders>
                    <w:top w:val="single" w:color="auto" w:sz="12" w:space="0"/>
                    <w:left w:val="nil"/>
                  </w:tcBorders>
                  <w:vAlign w:val="center"/>
                </w:tcPr>
                <w:p>
                  <w:pPr>
                    <w:tabs>
                      <w:tab w:val="left" w:pos="6300"/>
                    </w:tabs>
                    <w:rPr>
                      <w:rFonts w:cstheme="majorBidi"/>
                      <w:b/>
                      <w:color w:val="000000" w:themeColor="text1"/>
                      <w:sz w:val="21"/>
                      <w:szCs w:val="21"/>
                      <w14:textFill>
                        <w14:solidFill>
                          <w14:schemeClr w14:val="tx1"/>
                        </w14:solidFill>
                      </w14:textFill>
                    </w:rPr>
                  </w:pPr>
                  <w:bookmarkStart w:id="20" w:name="_Hlk106614837"/>
                  <w:r>
                    <w:rPr>
                      <w:rFonts w:cstheme="majorBidi"/>
                      <w:b/>
                      <w:color w:val="000000" w:themeColor="text1"/>
                      <w:sz w:val="21"/>
                      <w:szCs w:val="21"/>
                      <w14:textFill>
                        <w14:solidFill>
                          <w14:schemeClr w14:val="tx1"/>
                        </w14:solidFill>
                      </w14:textFill>
                    </w:rPr>
                    <w:t>序号</w:t>
                  </w:r>
                </w:p>
              </w:tc>
              <w:tc>
                <w:tcPr>
                  <w:tcW w:w="3745" w:type="dxa"/>
                  <w:vMerge w:val="restart"/>
                  <w:tcBorders>
                    <w:top w:val="single" w:color="auto" w:sz="12" w:space="0"/>
                  </w:tcBorders>
                  <w:vAlign w:val="center"/>
                </w:tcPr>
                <w:p>
                  <w:pPr>
                    <w:tabs>
                      <w:tab w:val="left" w:pos="6300"/>
                    </w:tabs>
                    <w:jc w:val="center"/>
                    <w:rPr>
                      <w:rFonts w:cstheme="majorBidi"/>
                      <w:b/>
                      <w:color w:val="000000" w:themeColor="text1"/>
                      <w:sz w:val="21"/>
                      <w:szCs w:val="21"/>
                      <w14:textFill>
                        <w14:solidFill>
                          <w14:schemeClr w14:val="tx1"/>
                        </w14:solidFill>
                      </w14:textFill>
                    </w:rPr>
                  </w:pPr>
                  <w:r>
                    <w:rPr>
                      <w:rFonts w:cstheme="majorBidi"/>
                      <w:b/>
                      <w:color w:val="000000" w:themeColor="text1"/>
                      <w:sz w:val="21"/>
                      <w:szCs w:val="21"/>
                      <w14:textFill>
                        <w14:solidFill>
                          <w14:schemeClr w14:val="tx1"/>
                        </w14:solidFill>
                      </w14:textFill>
                    </w:rPr>
                    <w:t>监测点位描述</w:t>
                  </w:r>
                </w:p>
              </w:tc>
              <w:tc>
                <w:tcPr>
                  <w:tcW w:w="2835" w:type="dxa"/>
                  <w:tcBorders>
                    <w:top w:val="single" w:color="auto" w:sz="12" w:space="0"/>
                    <w:bottom w:val="single" w:color="auto" w:sz="4" w:space="0"/>
                    <w:right w:val="nil"/>
                  </w:tcBorders>
                  <w:vAlign w:val="center"/>
                </w:tcPr>
                <w:p>
                  <w:pPr>
                    <w:tabs>
                      <w:tab w:val="left" w:pos="6300"/>
                    </w:tabs>
                    <w:jc w:val="center"/>
                    <w:rPr>
                      <w:rFonts w:cstheme="majorBidi"/>
                      <w:b/>
                      <w:color w:val="000000" w:themeColor="text1"/>
                      <w:sz w:val="21"/>
                      <w:szCs w:val="21"/>
                      <w14:textFill>
                        <w14:solidFill>
                          <w14:schemeClr w14:val="tx1"/>
                        </w14:solidFill>
                      </w14:textFill>
                    </w:rPr>
                  </w:pPr>
                  <w:r>
                    <w:rPr>
                      <w:rFonts w:hint="eastAsia" w:cstheme="majorBidi"/>
                      <w:b/>
                      <w:color w:val="000000" w:themeColor="text1"/>
                      <w:sz w:val="21"/>
                      <w:szCs w:val="21"/>
                      <w14:textFill>
                        <w14:solidFill>
                          <w14:schemeClr w14:val="tx1"/>
                        </w14:solidFill>
                      </w14:textFill>
                    </w:rPr>
                    <w:t>γ辐射剂量率（</w:t>
                  </w:r>
                  <w:r>
                    <w:rPr>
                      <w:b/>
                      <w:color w:val="000000" w:themeColor="text1"/>
                      <w:sz w:val="21"/>
                      <w:szCs w:val="21"/>
                      <w14:textFill>
                        <w14:solidFill>
                          <w14:schemeClr w14:val="tx1"/>
                        </w14:solidFill>
                      </w14:textFill>
                    </w:rPr>
                    <w:t>μ</w:t>
                  </w:r>
                  <w:r>
                    <w:rPr>
                      <w:rFonts w:hint="eastAsia" w:cstheme="majorBidi"/>
                      <w:b/>
                      <w:color w:val="000000" w:themeColor="text1"/>
                      <w:sz w:val="21"/>
                      <w:szCs w:val="21"/>
                      <w14:textFill>
                        <w14:solidFill>
                          <w14:schemeClr w14:val="tx1"/>
                        </w14:solidFill>
                      </w14:textFill>
                    </w:rPr>
                    <w:t>Gy/h）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97" w:type="dxa"/>
                  <w:vMerge w:val="continue"/>
                  <w:tcBorders>
                    <w:left w:val="nil"/>
                    <w:bottom w:val="single" w:color="auto" w:sz="12" w:space="0"/>
                  </w:tcBorders>
                  <w:vAlign w:val="center"/>
                </w:tcPr>
                <w:p>
                  <w:pPr>
                    <w:tabs>
                      <w:tab w:val="left" w:pos="6300"/>
                    </w:tabs>
                    <w:ind w:firstLine="316" w:firstLineChars="150"/>
                    <w:rPr>
                      <w:rFonts w:cstheme="majorBidi"/>
                      <w:b/>
                      <w:color w:val="000000" w:themeColor="text1"/>
                      <w:sz w:val="21"/>
                      <w:szCs w:val="21"/>
                      <w14:textFill>
                        <w14:solidFill>
                          <w14:schemeClr w14:val="tx1"/>
                        </w14:solidFill>
                      </w14:textFill>
                    </w:rPr>
                  </w:pPr>
                </w:p>
              </w:tc>
              <w:tc>
                <w:tcPr>
                  <w:tcW w:w="3745" w:type="dxa"/>
                  <w:vMerge w:val="continue"/>
                  <w:tcBorders>
                    <w:bottom w:val="single" w:color="auto" w:sz="12" w:space="0"/>
                  </w:tcBorders>
                  <w:vAlign w:val="center"/>
                </w:tcPr>
                <w:p>
                  <w:pPr>
                    <w:tabs>
                      <w:tab w:val="left" w:pos="6300"/>
                    </w:tabs>
                    <w:ind w:firstLine="316" w:firstLineChars="150"/>
                    <w:rPr>
                      <w:rFonts w:cstheme="majorBidi"/>
                      <w:b/>
                      <w:color w:val="000000" w:themeColor="text1"/>
                      <w:sz w:val="21"/>
                      <w:szCs w:val="21"/>
                      <w14:textFill>
                        <w14:solidFill>
                          <w14:schemeClr w14:val="tx1"/>
                        </w14:solidFill>
                      </w14:textFill>
                    </w:rPr>
                  </w:pPr>
                </w:p>
              </w:tc>
              <w:tc>
                <w:tcPr>
                  <w:tcW w:w="2835" w:type="dxa"/>
                  <w:tcBorders>
                    <w:bottom w:val="single" w:color="auto" w:sz="12" w:space="0"/>
                    <w:right w:val="nil"/>
                  </w:tcBorders>
                  <w:vAlign w:val="center"/>
                </w:tcPr>
                <w:p>
                  <w:pPr>
                    <w:tabs>
                      <w:tab w:val="left" w:pos="6300"/>
                    </w:tabs>
                    <w:jc w:val="center"/>
                    <w:rPr>
                      <w:rFonts w:cstheme="majorBidi"/>
                      <w:b/>
                      <w:color w:val="000000" w:themeColor="text1"/>
                      <w:sz w:val="21"/>
                      <w:szCs w:val="21"/>
                      <w14:textFill>
                        <w14:solidFill>
                          <w14:schemeClr w14:val="tx1"/>
                        </w14:solidFill>
                      </w14:textFill>
                    </w:rPr>
                  </w:pPr>
                  <w:r>
                    <w:rPr>
                      <w:rFonts w:cstheme="majorBidi"/>
                      <w:b/>
                      <w:color w:val="000000" w:themeColor="text1"/>
                      <w:sz w:val="21"/>
                      <w:szCs w:val="21"/>
                      <w14:textFill>
                        <w14:solidFill>
                          <w14:schemeClr w14:val="tx1"/>
                        </w14:solidFill>
                      </w14:textFill>
                    </w:rPr>
                    <w:t>均值±</w:t>
                  </w:r>
                  <w:r>
                    <w:rPr>
                      <w:rFonts w:hint="eastAsia" w:cstheme="majorBidi"/>
                      <w:b/>
                      <w:color w:val="000000" w:themeColor="text1"/>
                      <w:sz w:val="21"/>
                      <w:szCs w:val="21"/>
                      <w14:textFill>
                        <w14:solidFill>
                          <w14:schemeClr w14:val="tx1"/>
                        </w14:solidFill>
                      </w14:textFill>
                    </w:rPr>
                    <w:t>标准偏差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7" w:type="dxa"/>
                  <w:tcBorders>
                    <w:top w:val="single" w:color="auto" w:sz="12" w:space="0"/>
                    <w:left w:val="nil"/>
                    <w:bottom w:val="single" w:color="auto" w:sz="4" w:space="0"/>
                  </w:tcBorders>
                  <w:shd w:val="clear" w:color="auto" w:fill="auto"/>
                  <w:vAlign w:val="center"/>
                </w:tcPr>
                <w:p>
                  <w:pPr>
                    <w:tabs>
                      <w:tab w:val="left" w:pos="6300"/>
                    </w:tabs>
                    <w:ind w:firstLine="105" w:firstLineChars="50"/>
                    <w:rPr>
                      <w:rFonts w:cstheme="majorBidi"/>
                      <w:color w:val="000000" w:themeColor="text1"/>
                      <w:sz w:val="21"/>
                      <w:szCs w:val="21"/>
                      <w14:textFill>
                        <w14:solidFill>
                          <w14:schemeClr w14:val="tx1"/>
                        </w14:solidFill>
                      </w14:textFill>
                    </w:rPr>
                  </w:pPr>
                  <w:r>
                    <w:rPr>
                      <w:color w:val="000000" w:themeColor="text1"/>
                      <w:kern w:val="21"/>
                      <w:sz w:val="21"/>
                      <w:szCs w:val="21"/>
                      <w14:textFill>
                        <w14:solidFill>
                          <w14:schemeClr w14:val="tx1"/>
                        </w14:solidFill>
                      </w14:textFill>
                    </w:rPr>
                    <w:t>A</w:t>
                  </w:r>
                  <w:r>
                    <w:rPr>
                      <w:rFonts w:hint="eastAsia"/>
                      <w:color w:val="000000" w:themeColor="text1"/>
                      <w:kern w:val="21"/>
                      <w:sz w:val="21"/>
                      <w:szCs w:val="21"/>
                      <w14:textFill>
                        <w14:solidFill>
                          <w14:schemeClr w14:val="tx1"/>
                        </w14:solidFill>
                      </w14:textFill>
                    </w:rPr>
                    <w:t>1</w:t>
                  </w:r>
                </w:p>
              </w:tc>
              <w:tc>
                <w:tcPr>
                  <w:tcW w:w="3745" w:type="dxa"/>
                  <w:shd w:val="clear" w:color="auto" w:fill="auto"/>
                  <w:vAlign w:val="center"/>
                </w:tcPr>
                <w:p>
                  <w:pPr>
                    <w:jc w:val="center"/>
                    <w:rPr>
                      <w:rFonts w:cstheme="majorBidi"/>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对照点</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室内</w:t>
                  </w:r>
                  <w:r>
                    <w:rPr>
                      <w:rFonts w:hint="eastAsia"/>
                      <w:color w:val="000000" w:themeColor="text1"/>
                      <w:sz w:val="21"/>
                      <w:szCs w:val="21"/>
                      <w14:textFill>
                        <w14:solidFill>
                          <w14:schemeClr w14:val="tx1"/>
                        </w14:solidFill>
                      </w14:textFill>
                    </w:rPr>
                    <w:t>）</w:t>
                  </w:r>
                </w:p>
              </w:tc>
              <w:tc>
                <w:tcPr>
                  <w:tcW w:w="2835" w:type="dxa"/>
                  <w:tcBorders>
                    <w:right w:val="nil"/>
                  </w:tcBorders>
                  <w:shd w:val="clear" w:color="auto" w:fill="auto"/>
                  <w:vAlign w:val="center"/>
                </w:tcPr>
                <w:p>
                  <w:pPr>
                    <w:tabs>
                      <w:tab w:val="left" w:pos="6300"/>
                    </w:tabs>
                    <w:jc w:val="center"/>
                    <w:rPr>
                      <w:rFonts w:cstheme="majorBidi"/>
                      <w:color w:val="000000" w:themeColor="text1"/>
                      <w:sz w:val="21"/>
                      <w:szCs w:val="21"/>
                      <w14:textFill>
                        <w14:solidFill>
                          <w14:schemeClr w14:val="tx1"/>
                        </w14:solidFill>
                      </w14:textFill>
                    </w:rPr>
                  </w:pPr>
                  <w:r>
                    <w:rPr>
                      <w:rFonts w:hint="eastAsia" w:eastAsia="Times New Roman"/>
                      <w:color w:val="000000" w:themeColor="text1"/>
                      <w:sz w:val="21"/>
                      <w:szCs w:val="21"/>
                      <w14:textFill>
                        <w14:solidFill>
                          <w14:schemeClr w14:val="tx1"/>
                        </w14:solidFill>
                      </w14:textFill>
                    </w:rPr>
                    <w:t>0.064±0.0062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7" w:type="dxa"/>
                  <w:tcBorders>
                    <w:top w:val="single" w:color="auto" w:sz="4" w:space="0"/>
                    <w:left w:val="nil"/>
                    <w:bottom w:val="single" w:color="auto" w:sz="4" w:space="0"/>
                  </w:tcBorders>
                  <w:shd w:val="clear" w:color="auto" w:fill="auto"/>
                  <w:vAlign w:val="center"/>
                </w:tcPr>
                <w:p>
                  <w:pPr>
                    <w:tabs>
                      <w:tab w:val="left" w:pos="6300"/>
                    </w:tabs>
                    <w:ind w:firstLine="105" w:firstLineChars="50"/>
                    <w:rPr>
                      <w:rFonts w:cstheme="majorBidi"/>
                      <w:color w:val="000000" w:themeColor="text1"/>
                      <w:sz w:val="21"/>
                      <w:szCs w:val="21"/>
                      <w14:textFill>
                        <w14:solidFill>
                          <w14:schemeClr w14:val="tx1"/>
                        </w14:solidFill>
                      </w14:textFill>
                    </w:rPr>
                  </w:pPr>
                  <w:r>
                    <w:rPr>
                      <w:color w:val="000000" w:themeColor="text1"/>
                      <w:kern w:val="21"/>
                      <w:sz w:val="21"/>
                      <w:szCs w:val="21"/>
                      <w14:textFill>
                        <w14:solidFill>
                          <w14:schemeClr w14:val="tx1"/>
                        </w14:solidFill>
                      </w14:textFill>
                    </w:rPr>
                    <w:t>A</w:t>
                  </w:r>
                  <w:r>
                    <w:rPr>
                      <w:rFonts w:hint="eastAsia"/>
                      <w:color w:val="000000" w:themeColor="text1"/>
                      <w:kern w:val="21"/>
                      <w:sz w:val="21"/>
                      <w:szCs w:val="21"/>
                      <w14:textFill>
                        <w14:solidFill>
                          <w14:schemeClr w14:val="tx1"/>
                        </w14:solidFill>
                      </w14:textFill>
                    </w:rPr>
                    <w:t>2</w:t>
                  </w:r>
                </w:p>
              </w:tc>
              <w:tc>
                <w:tcPr>
                  <w:tcW w:w="3745" w:type="dxa"/>
                  <w:shd w:val="clear" w:color="auto" w:fill="auto"/>
                  <w:vAlign w:val="center"/>
                </w:tcPr>
                <w:p>
                  <w:pPr>
                    <w:jc w:val="center"/>
                    <w:rPr>
                      <w:rFonts w:cstheme="majorBidi"/>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对照点</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室外</w:t>
                  </w:r>
                  <w:r>
                    <w:rPr>
                      <w:rFonts w:hint="eastAsia"/>
                      <w:color w:val="000000" w:themeColor="text1"/>
                      <w:sz w:val="21"/>
                      <w:szCs w:val="21"/>
                      <w14:textFill>
                        <w14:solidFill>
                          <w14:schemeClr w14:val="tx1"/>
                        </w14:solidFill>
                      </w14:textFill>
                    </w:rPr>
                    <w:t>）</w:t>
                  </w:r>
                </w:p>
              </w:tc>
              <w:tc>
                <w:tcPr>
                  <w:tcW w:w="2835" w:type="dxa"/>
                  <w:tcBorders>
                    <w:right w:val="nil"/>
                  </w:tcBorders>
                  <w:shd w:val="clear" w:color="auto" w:fill="auto"/>
                  <w:vAlign w:val="center"/>
                </w:tcPr>
                <w:p>
                  <w:pPr>
                    <w:tabs>
                      <w:tab w:val="left" w:pos="6300"/>
                    </w:tabs>
                    <w:jc w:val="center"/>
                    <w:rPr>
                      <w:rFonts w:cstheme="majorBidi"/>
                      <w:color w:val="000000" w:themeColor="text1"/>
                      <w:sz w:val="21"/>
                      <w:szCs w:val="21"/>
                      <w14:textFill>
                        <w14:solidFill>
                          <w14:schemeClr w14:val="tx1"/>
                        </w14:solidFill>
                      </w14:textFill>
                    </w:rPr>
                  </w:pPr>
                  <w:r>
                    <w:rPr>
                      <w:rFonts w:hint="eastAsia" w:eastAsia="Times New Roman"/>
                      <w:color w:val="000000" w:themeColor="text1"/>
                      <w:sz w:val="21"/>
                      <w:szCs w:val="21"/>
                      <w14:textFill>
                        <w14:solidFill>
                          <w14:schemeClr w14:val="tx1"/>
                        </w14:solidFill>
                      </w14:textFill>
                    </w:rPr>
                    <w:t>0.056±0.0058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7" w:type="dxa"/>
                  <w:tcBorders>
                    <w:top w:val="single" w:color="auto" w:sz="4" w:space="0"/>
                    <w:left w:val="nil"/>
                    <w:bottom w:val="single" w:color="auto" w:sz="4" w:space="0"/>
                  </w:tcBorders>
                  <w:shd w:val="clear" w:color="auto" w:fill="auto"/>
                  <w:vAlign w:val="center"/>
                </w:tcPr>
                <w:p>
                  <w:pPr>
                    <w:tabs>
                      <w:tab w:val="left" w:pos="6300"/>
                    </w:tabs>
                    <w:ind w:firstLine="105" w:firstLineChars="50"/>
                    <w:rPr>
                      <w:rFonts w:cstheme="majorBidi"/>
                      <w:color w:val="000000" w:themeColor="text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A3</w:t>
                  </w:r>
                </w:p>
              </w:tc>
              <w:tc>
                <w:tcPr>
                  <w:tcW w:w="3745" w:type="dxa"/>
                  <w:shd w:val="clear" w:color="auto" w:fill="auto"/>
                  <w:vAlign w:val="center"/>
                </w:tcPr>
                <w:p>
                  <w:pPr>
                    <w:jc w:val="center"/>
                    <w:rPr>
                      <w:rFonts w:cstheme="majorBidi"/>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住院楼一层</w:t>
                  </w:r>
                  <w:r>
                    <w:rPr>
                      <w:rFonts w:eastAsia="Times New Roman"/>
                      <w:color w:val="000000" w:themeColor="text1"/>
                      <w:sz w:val="21"/>
                      <w:szCs w:val="21"/>
                      <w14:textFill>
                        <w14:solidFill>
                          <w14:schemeClr w14:val="tx1"/>
                        </w14:solidFill>
                      </w14:textFill>
                    </w:rPr>
                    <w:t>DSA机房</w:t>
                  </w:r>
                  <w:r>
                    <w:rPr>
                      <w:rFonts w:hint="eastAsia" w:ascii="宋体" w:hAnsi="宋体" w:cs="宋体"/>
                      <w:color w:val="000000" w:themeColor="text1"/>
                      <w:sz w:val="21"/>
                      <w:szCs w:val="21"/>
                      <w14:textFill>
                        <w14:solidFill>
                          <w14:schemeClr w14:val="tx1"/>
                        </w14:solidFill>
                      </w14:textFill>
                    </w:rPr>
                    <w:t>拟建地</w:t>
                  </w:r>
                  <w:r>
                    <w:rPr>
                      <w:rFonts w:eastAsia="Times New Roman"/>
                      <w:color w:val="000000" w:themeColor="text1"/>
                      <w:sz w:val="21"/>
                      <w:szCs w:val="21"/>
                      <w14:textFill>
                        <w14:solidFill>
                          <w14:schemeClr w14:val="tx1"/>
                        </w14:solidFill>
                      </w14:textFill>
                    </w:rPr>
                    <w:t>中心位置</w:t>
                  </w:r>
                </w:p>
              </w:tc>
              <w:tc>
                <w:tcPr>
                  <w:tcW w:w="2835" w:type="dxa"/>
                  <w:tcBorders>
                    <w:right w:val="nil"/>
                  </w:tcBorders>
                  <w:shd w:val="clear" w:color="auto" w:fill="auto"/>
                  <w:vAlign w:val="center"/>
                </w:tcPr>
                <w:p>
                  <w:pPr>
                    <w:tabs>
                      <w:tab w:val="left" w:pos="6300"/>
                    </w:tabs>
                    <w:jc w:val="center"/>
                    <w:rPr>
                      <w:rFonts w:cstheme="majorBidi"/>
                      <w:color w:val="000000" w:themeColor="text1"/>
                      <w:sz w:val="21"/>
                      <w:szCs w:val="21"/>
                      <w14:textFill>
                        <w14:solidFill>
                          <w14:schemeClr w14:val="tx1"/>
                        </w14:solidFill>
                      </w14:textFill>
                    </w:rPr>
                  </w:pPr>
                  <w:r>
                    <w:rPr>
                      <w:rFonts w:hint="eastAsia" w:eastAsia="Times New Roman"/>
                      <w:color w:val="000000" w:themeColor="text1"/>
                      <w:sz w:val="21"/>
                      <w:szCs w:val="21"/>
                      <w14:textFill>
                        <w14:solidFill>
                          <w14:schemeClr w14:val="tx1"/>
                        </w14:solidFill>
                      </w14:textFill>
                    </w:rPr>
                    <w:t>0.058±0.0048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7" w:type="dxa"/>
                  <w:tcBorders>
                    <w:top w:val="single" w:color="auto" w:sz="4" w:space="0"/>
                    <w:left w:val="nil"/>
                    <w:bottom w:val="single" w:color="auto" w:sz="4" w:space="0"/>
                  </w:tcBorders>
                  <w:shd w:val="clear" w:color="auto" w:fill="auto"/>
                  <w:vAlign w:val="center"/>
                </w:tcPr>
                <w:p>
                  <w:pPr>
                    <w:tabs>
                      <w:tab w:val="left" w:pos="6300"/>
                    </w:tabs>
                    <w:ind w:firstLine="105" w:firstLineChars="50"/>
                    <w:rPr>
                      <w:rFonts w:cstheme="majorBidi"/>
                      <w:color w:val="000000" w:themeColor="text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A4</w:t>
                  </w:r>
                </w:p>
              </w:tc>
              <w:tc>
                <w:tcPr>
                  <w:tcW w:w="3745" w:type="dxa"/>
                  <w:shd w:val="clear" w:color="auto" w:fill="auto"/>
                  <w:vAlign w:val="center"/>
                </w:tcPr>
                <w:p>
                  <w:pPr>
                    <w:jc w:val="center"/>
                    <w:rPr>
                      <w:rFonts w:cstheme="majorBidi"/>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住院楼一层</w:t>
                  </w:r>
                  <w:r>
                    <w:rPr>
                      <w:rFonts w:eastAsia="Times New Roman"/>
                      <w:color w:val="000000" w:themeColor="text1"/>
                      <w:sz w:val="21"/>
                      <w:szCs w:val="21"/>
                      <w14:textFill>
                        <w14:solidFill>
                          <w14:schemeClr w14:val="tx1"/>
                        </w14:solidFill>
                      </w14:textFill>
                    </w:rPr>
                    <w:t>DSA机房</w:t>
                  </w:r>
                  <w:r>
                    <w:rPr>
                      <w:rFonts w:hint="eastAsia" w:ascii="宋体" w:hAnsi="宋体" w:cs="宋体"/>
                      <w:color w:val="000000" w:themeColor="text1"/>
                      <w:sz w:val="21"/>
                      <w:szCs w:val="21"/>
                      <w14:textFill>
                        <w14:solidFill>
                          <w14:schemeClr w14:val="tx1"/>
                        </w14:solidFill>
                      </w14:textFill>
                    </w:rPr>
                    <w:t>拟建地</w:t>
                  </w:r>
                  <w:r>
                    <w:rPr>
                      <w:rFonts w:eastAsia="Times New Roman"/>
                      <w:color w:val="000000" w:themeColor="text1"/>
                      <w:sz w:val="21"/>
                      <w:szCs w:val="21"/>
                      <w14:textFill>
                        <w14:solidFill>
                          <w14:schemeClr w14:val="tx1"/>
                        </w14:solidFill>
                      </w14:textFill>
                    </w:rPr>
                    <w:t>东侧</w:t>
                  </w:r>
                  <w:r>
                    <w:rPr>
                      <w:rFonts w:hint="eastAsia"/>
                      <w:color w:val="000000" w:themeColor="text1"/>
                      <w:sz w:val="21"/>
                      <w:szCs w:val="21"/>
                      <w14:textFill>
                        <w14:solidFill>
                          <w14:schemeClr w14:val="tx1"/>
                        </w14:solidFill>
                      </w14:textFill>
                    </w:rPr>
                    <w:t>墙外</w:t>
                  </w:r>
                </w:p>
              </w:tc>
              <w:tc>
                <w:tcPr>
                  <w:tcW w:w="2835" w:type="dxa"/>
                  <w:tcBorders>
                    <w:right w:val="nil"/>
                  </w:tcBorders>
                  <w:shd w:val="clear" w:color="auto" w:fill="auto"/>
                  <w:vAlign w:val="center"/>
                </w:tcPr>
                <w:p>
                  <w:pPr>
                    <w:tabs>
                      <w:tab w:val="left" w:pos="6300"/>
                    </w:tabs>
                    <w:jc w:val="center"/>
                    <w:rPr>
                      <w:rFonts w:cstheme="majorBidi"/>
                      <w:color w:val="000000" w:themeColor="text1"/>
                      <w:sz w:val="21"/>
                      <w:szCs w:val="21"/>
                      <w14:textFill>
                        <w14:solidFill>
                          <w14:schemeClr w14:val="tx1"/>
                        </w14:solidFill>
                      </w14:textFill>
                    </w:rPr>
                  </w:pPr>
                  <w:r>
                    <w:rPr>
                      <w:rFonts w:hint="eastAsia" w:eastAsia="Times New Roman"/>
                      <w:color w:val="000000" w:themeColor="text1"/>
                      <w:sz w:val="21"/>
                      <w:szCs w:val="21"/>
                      <w14:textFill>
                        <w14:solidFill>
                          <w14:schemeClr w14:val="tx1"/>
                        </w14:solidFill>
                      </w14:textFill>
                    </w:rPr>
                    <w:t>0.076±0.0069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7" w:type="dxa"/>
                  <w:tcBorders>
                    <w:top w:val="single" w:color="auto" w:sz="4" w:space="0"/>
                    <w:left w:val="nil"/>
                    <w:bottom w:val="single" w:color="auto" w:sz="4" w:space="0"/>
                  </w:tcBorders>
                  <w:shd w:val="clear" w:color="auto" w:fill="auto"/>
                  <w:vAlign w:val="center"/>
                </w:tcPr>
                <w:p>
                  <w:pPr>
                    <w:tabs>
                      <w:tab w:val="left" w:pos="6300"/>
                    </w:tabs>
                    <w:ind w:firstLine="105" w:firstLineChars="50"/>
                    <w:rPr>
                      <w:rFonts w:cstheme="majorBidi"/>
                      <w:color w:val="000000" w:themeColor="text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A5</w:t>
                  </w:r>
                </w:p>
              </w:tc>
              <w:tc>
                <w:tcPr>
                  <w:tcW w:w="3745" w:type="dxa"/>
                  <w:shd w:val="clear" w:color="auto" w:fill="auto"/>
                  <w:vAlign w:val="center"/>
                </w:tcPr>
                <w:p>
                  <w:pPr>
                    <w:jc w:val="center"/>
                    <w:rPr>
                      <w:rFonts w:cstheme="majorBidi"/>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住院楼一层</w:t>
                  </w:r>
                  <w:r>
                    <w:rPr>
                      <w:rFonts w:eastAsia="Times New Roman"/>
                      <w:color w:val="000000" w:themeColor="text1"/>
                      <w:sz w:val="21"/>
                      <w:szCs w:val="21"/>
                      <w14:textFill>
                        <w14:solidFill>
                          <w14:schemeClr w14:val="tx1"/>
                        </w14:solidFill>
                      </w14:textFill>
                    </w:rPr>
                    <w:t>DSA机房</w:t>
                  </w:r>
                  <w:r>
                    <w:rPr>
                      <w:rFonts w:hint="eastAsia" w:ascii="宋体" w:hAnsi="宋体" w:cs="宋体"/>
                      <w:color w:val="000000" w:themeColor="text1"/>
                      <w:sz w:val="21"/>
                      <w:szCs w:val="21"/>
                      <w14:textFill>
                        <w14:solidFill>
                          <w14:schemeClr w14:val="tx1"/>
                        </w14:solidFill>
                      </w14:textFill>
                    </w:rPr>
                    <w:t>拟建地</w:t>
                  </w:r>
                  <w:r>
                    <w:rPr>
                      <w:rFonts w:eastAsia="Times New Roman"/>
                      <w:color w:val="000000" w:themeColor="text1"/>
                      <w:sz w:val="21"/>
                      <w:szCs w:val="21"/>
                      <w14:textFill>
                        <w14:solidFill>
                          <w14:schemeClr w14:val="tx1"/>
                        </w14:solidFill>
                      </w14:textFill>
                    </w:rPr>
                    <w:t>西侧</w:t>
                  </w:r>
                  <w:r>
                    <w:rPr>
                      <w:rFonts w:hint="eastAsia"/>
                      <w:color w:val="000000" w:themeColor="text1"/>
                      <w:sz w:val="21"/>
                      <w:szCs w:val="21"/>
                      <w14:textFill>
                        <w14:solidFill>
                          <w14:schemeClr w14:val="tx1"/>
                        </w14:solidFill>
                      </w14:textFill>
                    </w:rPr>
                    <w:t>墙外</w:t>
                  </w:r>
                </w:p>
              </w:tc>
              <w:tc>
                <w:tcPr>
                  <w:tcW w:w="2835" w:type="dxa"/>
                  <w:tcBorders>
                    <w:right w:val="nil"/>
                  </w:tcBorders>
                  <w:shd w:val="clear" w:color="auto" w:fill="auto"/>
                  <w:vAlign w:val="center"/>
                </w:tcPr>
                <w:p>
                  <w:pPr>
                    <w:tabs>
                      <w:tab w:val="left" w:pos="6300"/>
                    </w:tabs>
                    <w:jc w:val="center"/>
                    <w:rPr>
                      <w:rFonts w:cstheme="majorBidi"/>
                      <w:color w:val="000000" w:themeColor="text1"/>
                      <w:sz w:val="21"/>
                      <w:szCs w:val="21"/>
                      <w14:textFill>
                        <w14:solidFill>
                          <w14:schemeClr w14:val="tx1"/>
                        </w14:solidFill>
                      </w14:textFill>
                    </w:rPr>
                  </w:pPr>
                  <w:r>
                    <w:rPr>
                      <w:rFonts w:hint="eastAsia" w:eastAsia="Times New Roman"/>
                      <w:color w:val="000000" w:themeColor="text1"/>
                      <w:sz w:val="21"/>
                      <w:szCs w:val="21"/>
                      <w14:textFill>
                        <w14:solidFill>
                          <w14:schemeClr w14:val="tx1"/>
                        </w14:solidFill>
                      </w14:textFill>
                    </w:rPr>
                    <w:t>0.074±0.0069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7" w:type="dxa"/>
                  <w:tcBorders>
                    <w:top w:val="single" w:color="auto" w:sz="4" w:space="0"/>
                    <w:left w:val="nil"/>
                    <w:bottom w:val="single" w:color="auto" w:sz="4" w:space="0"/>
                  </w:tcBorders>
                  <w:shd w:val="clear" w:color="auto" w:fill="auto"/>
                  <w:vAlign w:val="center"/>
                </w:tcPr>
                <w:p>
                  <w:pPr>
                    <w:tabs>
                      <w:tab w:val="left" w:pos="6300"/>
                    </w:tabs>
                    <w:ind w:firstLine="105" w:firstLineChars="50"/>
                    <w:rPr>
                      <w:rFonts w:cstheme="majorBidi"/>
                      <w:color w:val="000000" w:themeColor="text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A6</w:t>
                  </w:r>
                </w:p>
              </w:tc>
              <w:tc>
                <w:tcPr>
                  <w:tcW w:w="3745" w:type="dxa"/>
                  <w:shd w:val="clear" w:color="auto" w:fill="auto"/>
                  <w:vAlign w:val="center"/>
                </w:tcPr>
                <w:p>
                  <w:pPr>
                    <w:jc w:val="center"/>
                    <w:rPr>
                      <w:rFonts w:cstheme="majorBidi"/>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住院楼一层</w:t>
                  </w:r>
                  <w:r>
                    <w:rPr>
                      <w:rFonts w:eastAsia="Times New Roman"/>
                      <w:color w:val="000000" w:themeColor="text1"/>
                      <w:sz w:val="21"/>
                      <w:szCs w:val="21"/>
                      <w14:textFill>
                        <w14:solidFill>
                          <w14:schemeClr w14:val="tx1"/>
                        </w14:solidFill>
                      </w14:textFill>
                    </w:rPr>
                    <w:t>DSA机房</w:t>
                  </w:r>
                  <w:r>
                    <w:rPr>
                      <w:rFonts w:hint="eastAsia" w:ascii="宋体" w:hAnsi="宋体" w:cs="宋体"/>
                      <w:color w:val="000000" w:themeColor="text1"/>
                      <w:sz w:val="21"/>
                      <w:szCs w:val="21"/>
                      <w14:textFill>
                        <w14:solidFill>
                          <w14:schemeClr w14:val="tx1"/>
                        </w14:solidFill>
                      </w14:textFill>
                    </w:rPr>
                    <w:t>拟建地</w:t>
                  </w:r>
                  <w:r>
                    <w:rPr>
                      <w:rFonts w:eastAsia="Times New Roman"/>
                      <w:color w:val="000000" w:themeColor="text1"/>
                      <w:sz w:val="21"/>
                      <w:szCs w:val="21"/>
                      <w14:textFill>
                        <w14:solidFill>
                          <w14:schemeClr w14:val="tx1"/>
                        </w14:solidFill>
                      </w14:textFill>
                    </w:rPr>
                    <w:t>南侧</w:t>
                  </w:r>
                  <w:r>
                    <w:rPr>
                      <w:rFonts w:hint="eastAsia"/>
                      <w:color w:val="000000" w:themeColor="text1"/>
                      <w:sz w:val="21"/>
                      <w:szCs w:val="21"/>
                      <w14:textFill>
                        <w14:solidFill>
                          <w14:schemeClr w14:val="tx1"/>
                        </w14:solidFill>
                      </w14:textFill>
                    </w:rPr>
                    <w:t>墙外</w:t>
                  </w:r>
                </w:p>
              </w:tc>
              <w:tc>
                <w:tcPr>
                  <w:tcW w:w="2835" w:type="dxa"/>
                  <w:tcBorders>
                    <w:right w:val="nil"/>
                  </w:tcBorders>
                  <w:shd w:val="clear" w:color="auto" w:fill="auto"/>
                  <w:vAlign w:val="center"/>
                </w:tcPr>
                <w:p>
                  <w:pPr>
                    <w:tabs>
                      <w:tab w:val="left" w:pos="6300"/>
                    </w:tabs>
                    <w:jc w:val="center"/>
                    <w:rPr>
                      <w:rFonts w:cstheme="majorBidi"/>
                      <w:color w:val="000000" w:themeColor="text1"/>
                      <w:sz w:val="21"/>
                      <w:szCs w:val="21"/>
                      <w14:textFill>
                        <w14:solidFill>
                          <w14:schemeClr w14:val="tx1"/>
                        </w14:solidFill>
                      </w14:textFill>
                    </w:rPr>
                  </w:pPr>
                  <w:r>
                    <w:rPr>
                      <w:rFonts w:hint="eastAsia" w:eastAsia="Times New Roman"/>
                      <w:color w:val="000000" w:themeColor="text1"/>
                      <w:sz w:val="21"/>
                      <w:szCs w:val="21"/>
                      <w14:textFill>
                        <w14:solidFill>
                          <w14:schemeClr w14:val="tx1"/>
                        </w14:solidFill>
                      </w14:textFill>
                    </w:rPr>
                    <w:t>0.072±0.0069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7" w:type="dxa"/>
                  <w:tcBorders>
                    <w:top w:val="single" w:color="auto" w:sz="4" w:space="0"/>
                    <w:left w:val="nil"/>
                    <w:bottom w:val="single" w:color="auto" w:sz="4" w:space="0"/>
                  </w:tcBorders>
                  <w:shd w:val="clear" w:color="auto" w:fill="auto"/>
                  <w:vAlign w:val="center"/>
                </w:tcPr>
                <w:p>
                  <w:pPr>
                    <w:tabs>
                      <w:tab w:val="left" w:pos="6300"/>
                    </w:tabs>
                    <w:ind w:firstLine="105" w:firstLineChars="50"/>
                    <w:rPr>
                      <w:rFonts w:cstheme="majorBidi"/>
                      <w:color w:val="000000" w:themeColor="text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A7</w:t>
                  </w:r>
                </w:p>
              </w:tc>
              <w:tc>
                <w:tcPr>
                  <w:tcW w:w="3745" w:type="dxa"/>
                  <w:shd w:val="clear" w:color="auto" w:fill="auto"/>
                  <w:vAlign w:val="center"/>
                </w:tcPr>
                <w:p>
                  <w:pPr>
                    <w:jc w:val="center"/>
                    <w:rPr>
                      <w:rFonts w:cstheme="majorBidi"/>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住院楼一层</w:t>
                  </w:r>
                  <w:r>
                    <w:rPr>
                      <w:rFonts w:eastAsia="Times New Roman"/>
                      <w:color w:val="000000" w:themeColor="text1"/>
                      <w:sz w:val="21"/>
                      <w:szCs w:val="21"/>
                      <w14:textFill>
                        <w14:solidFill>
                          <w14:schemeClr w14:val="tx1"/>
                        </w14:solidFill>
                      </w14:textFill>
                    </w:rPr>
                    <w:t>DSA机房</w:t>
                  </w:r>
                  <w:r>
                    <w:rPr>
                      <w:rFonts w:hint="eastAsia" w:ascii="宋体" w:hAnsi="宋体" w:cs="宋体"/>
                      <w:color w:val="000000" w:themeColor="text1"/>
                      <w:sz w:val="21"/>
                      <w:szCs w:val="21"/>
                      <w14:textFill>
                        <w14:solidFill>
                          <w14:schemeClr w14:val="tx1"/>
                        </w14:solidFill>
                      </w14:textFill>
                    </w:rPr>
                    <w:t>拟建地</w:t>
                  </w:r>
                  <w:r>
                    <w:rPr>
                      <w:rFonts w:eastAsia="Times New Roman"/>
                      <w:color w:val="000000" w:themeColor="text1"/>
                      <w:sz w:val="21"/>
                      <w:szCs w:val="21"/>
                      <w14:textFill>
                        <w14:solidFill>
                          <w14:schemeClr w14:val="tx1"/>
                        </w14:solidFill>
                      </w14:textFill>
                    </w:rPr>
                    <w:t>北侧</w:t>
                  </w:r>
                  <w:r>
                    <w:rPr>
                      <w:rFonts w:hint="eastAsia"/>
                      <w:color w:val="000000" w:themeColor="text1"/>
                      <w:sz w:val="21"/>
                      <w:szCs w:val="21"/>
                      <w14:textFill>
                        <w14:solidFill>
                          <w14:schemeClr w14:val="tx1"/>
                        </w14:solidFill>
                      </w14:textFill>
                    </w:rPr>
                    <w:t>墙外</w:t>
                  </w:r>
                </w:p>
              </w:tc>
              <w:tc>
                <w:tcPr>
                  <w:tcW w:w="2835" w:type="dxa"/>
                  <w:tcBorders>
                    <w:right w:val="nil"/>
                  </w:tcBorders>
                  <w:shd w:val="clear" w:color="auto" w:fill="auto"/>
                  <w:vAlign w:val="center"/>
                </w:tcPr>
                <w:p>
                  <w:pPr>
                    <w:tabs>
                      <w:tab w:val="left" w:pos="6300"/>
                    </w:tabs>
                    <w:jc w:val="center"/>
                    <w:rPr>
                      <w:rFonts w:cstheme="majorBidi"/>
                      <w:color w:val="000000" w:themeColor="text1"/>
                      <w:sz w:val="21"/>
                      <w:szCs w:val="21"/>
                      <w14:textFill>
                        <w14:solidFill>
                          <w14:schemeClr w14:val="tx1"/>
                        </w14:solidFill>
                      </w14:textFill>
                    </w:rPr>
                  </w:pPr>
                  <w:r>
                    <w:rPr>
                      <w:rFonts w:hint="eastAsia" w:eastAsia="Times New Roman"/>
                      <w:color w:val="000000" w:themeColor="text1"/>
                      <w:sz w:val="21"/>
                      <w:szCs w:val="21"/>
                      <w14:textFill>
                        <w14:solidFill>
                          <w14:schemeClr w14:val="tx1"/>
                        </w14:solidFill>
                      </w14:textFill>
                    </w:rPr>
                    <w:t>0.064±0.0055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7" w:type="dxa"/>
                  <w:tcBorders>
                    <w:top w:val="single" w:color="auto" w:sz="4" w:space="0"/>
                    <w:left w:val="nil"/>
                    <w:bottom w:val="single" w:color="auto" w:sz="4" w:space="0"/>
                  </w:tcBorders>
                  <w:shd w:val="clear" w:color="auto" w:fill="auto"/>
                  <w:vAlign w:val="center"/>
                </w:tcPr>
                <w:p>
                  <w:pPr>
                    <w:tabs>
                      <w:tab w:val="left" w:pos="6300"/>
                    </w:tabs>
                    <w:ind w:firstLine="105" w:firstLineChars="50"/>
                    <w:rPr>
                      <w:rFonts w:cstheme="majorBidi"/>
                      <w:color w:val="000000" w:themeColor="text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A8</w:t>
                  </w:r>
                </w:p>
              </w:tc>
              <w:tc>
                <w:tcPr>
                  <w:tcW w:w="3745" w:type="dxa"/>
                  <w:shd w:val="clear" w:color="auto" w:fill="auto"/>
                  <w:vAlign w:val="center"/>
                </w:tcPr>
                <w:p>
                  <w:pPr>
                    <w:jc w:val="center"/>
                    <w:rPr>
                      <w:rFonts w:cstheme="majorBidi"/>
                      <w:color w:val="000000" w:themeColor="text1"/>
                      <w:sz w:val="21"/>
                      <w:szCs w:val="21"/>
                      <w14:textFill>
                        <w14:solidFill>
                          <w14:schemeClr w14:val="tx1"/>
                        </w14:solidFill>
                      </w14:textFill>
                    </w:rPr>
                  </w:pPr>
                  <w:r>
                    <w:rPr>
                      <w:rFonts w:eastAsia="Times New Roman"/>
                      <w:color w:val="000000" w:themeColor="text1"/>
                      <w:sz w:val="21"/>
                      <w:szCs w:val="21"/>
                      <w14:textFill>
                        <w14:solidFill>
                          <w14:schemeClr w14:val="tx1"/>
                        </w14:solidFill>
                      </w14:textFill>
                    </w:rPr>
                    <w:t>DSA机房楼上</w:t>
                  </w:r>
                  <w:r>
                    <w:rPr>
                      <w:rFonts w:hint="eastAsia" w:ascii="宋体" w:hAnsi="宋体" w:cs="宋体"/>
                      <w:color w:val="000000" w:themeColor="text1"/>
                      <w:sz w:val="21"/>
                      <w:szCs w:val="21"/>
                      <w14:textFill>
                        <w14:solidFill>
                          <w14:schemeClr w14:val="tx1"/>
                        </w14:solidFill>
                      </w14:textFill>
                    </w:rPr>
                    <w:t>（住院部二层办公室）</w:t>
                  </w:r>
                </w:p>
              </w:tc>
              <w:tc>
                <w:tcPr>
                  <w:tcW w:w="2835" w:type="dxa"/>
                  <w:tcBorders>
                    <w:right w:val="nil"/>
                  </w:tcBorders>
                  <w:shd w:val="clear" w:color="auto" w:fill="auto"/>
                  <w:vAlign w:val="center"/>
                </w:tcPr>
                <w:p>
                  <w:pPr>
                    <w:tabs>
                      <w:tab w:val="left" w:pos="6300"/>
                    </w:tabs>
                    <w:jc w:val="center"/>
                    <w:rPr>
                      <w:rFonts w:cstheme="majorBidi"/>
                      <w:color w:val="000000" w:themeColor="text1"/>
                      <w:sz w:val="21"/>
                      <w:szCs w:val="21"/>
                      <w14:textFill>
                        <w14:solidFill>
                          <w14:schemeClr w14:val="tx1"/>
                        </w14:solidFill>
                      </w14:textFill>
                    </w:rPr>
                  </w:pPr>
                  <w:r>
                    <w:rPr>
                      <w:rFonts w:hint="eastAsia" w:eastAsia="Times New Roman"/>
                      <w:color w:val="000000" w:themeColor="text1"/>
                      <w:sz w:val="21"/>
                      <w:szCs w:val="21"/>
                      <w14:textFill>
                        <w14:solidFill>
                          <w14:schemeClr w14:val="tx1"/>
                        </w14:solidFill>
                      </w14:textFill>
                    </w:rPr>
                    <w:t>0.080±0.0080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7" w:type="dxa"/>
                  <w:tcBorders>
                    <w:top w:val="single" w:color="auto" w:sz="4" w:space="0"/>
                    <w:left w:val="nil"/>
                    <w:bottom w:val="single" w:color="auto" w:sz="4" w:space="0"/>
                  </w:tcBorders>
                  <w:shd w:val="clear" w:color="auto" w:fill="auto"/>
                  <w:vAlign w:val="center"/>
                </w:tcPr>
                <w:p>
                  <w:pPr>
                    <w:tabs>
                      <w:tab w:val="left" w:pos="6300"/>
                    </w:tabs>
                    <w:ind w:firstLine="105" w:firstLineChars="50"/>
                    <w:rPr>
                      <w:rFonts w:cstheme="majorBidi"/>
                      <w:color w:val="000000" w:themeColor="text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A9</w:t>
                  </w:r>
                </w:p>
              </w:tc>
              <w:tc>
                <w:tcPr>
                  <w:tcW w:w="3745" w:type="dxa"/>
                  <w:shd w:val="clear" w:color="auto" w:fill="auto"/>
                  <w:vAlign w:val="center"/>
                </w:tcPr>
                <w:p>
                  <w:pPr>
                    <w:jc w:val="center"/>
                    <w:rPr>
                      <w:rFonts w:cstheme="majorBidi"/>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住院部</w:t>
                  </w:r>
                  <w:r>
                    <w:rPr>
                      <w:rFonts w:hint="eastAsia"/>
                      <w:color w:val="000000" w:themeColor="text1"/>
                      <w:sz w:val="21"/>
                      <w:szCs w:val="21"/>
                      <w14:textFill>
                        <w14:solidFill>
                          <w14:schemeClr w14:val="tx1"/>
                        </w14:solidFill>
                      </w14:textFill>
                    </w:rPr>
                    <w:t>一层</w:t>
                  </w:r>
                  <w:r>
                    <w:rPr>
                      <w:color w:val="000000" w:themeColor="text1"/>
                      <w:sz w:val="21"/>
                      <w:szCs w:val="21"/>
                      <w14:textFill>
                        <w14:solidFill>
                          <w14:schemeClr w14:val="tx1"/>
                        </w14:solidFill>
                      </w14:textFill>
                    </w:rPr>
                    <w:t>走廊</w:t>
                  </w:r>
                </w:p>
              </w:tc>
              <w:tc>
                <w:tcPr>
                  <w:tcW w:w="2835" w:type="dxa"/>
                  <w:tcBorders>
                    <w:right w:val="nil"/>
                  </w:tcBorders>
                  <w:shd w:val="clear" w:color="auto" w:fill="auto"/>
                  <w:vAlign w:val="center"/>
                </w:tcPr>
                <w:p>
                  <w:pPr>
                    <w:tabs>
                      <w:tab w:val="left" w:pos="6300"/>
                    </w:tabs>
                    <w:jc w:val="center"/>
                    <w:rPr>
                      <w:rFonts w:cstheme="majorBidi"/>
                      <w:color w:val="000000" w:themeColor="text1"/>
                      <w:sz w:val="21"/>
                      <w:szCs w:val="21"/>
                      <w14:textFill>
                        <w14:solidFill>
                          <w14:schemeClr w14:val="tx1"/>
                        </w14:solidFill>
                      </w14:textFill>
                    </w:rPr>
                  </w:pPr>
                  <w:r>
                    <w:rPr>
                      <w:rFonts w:hint="eastAsia" w:eastAsia="Times New Roman"/>
                      <w:color w:val="000000" w:themeColor="text1"/>
                      <w:sz w:val="21"/>
                      <w:szCs w:val="21"/>
                      <w14:textFill>
                        <w14:solidFill>
                          <w14:schemeClr w14:val="tx1"/>
                        </w14:solidFill>
                      </w14:textFill>
                    </w:rPr>
                    <w:t>0.065±0.0078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7" w:type="dxa"/>
                  <w:tcBorders>
                    <w:top w:val="single" w:color="auto" w:sz="4" w:space="0"/>
                    <w:left w:val="nil"/>
                    <w:bottom w:val="single" w:color="auto" w:sz="4" w:space="0"/>
                  </w:tcBorders>
                  <w:shd w:val="clear" w:color="auto" w:fill="auto"/>
                  <w:vAlign w:val="center"/>
                </w:tcPr>
                <w:p>
                  <w:pPr>
                    <w:tabs>
                      <w:tab w:val="left" w:pos="6300"/>
                    </w:tabs>
                    <w:ind w:firstLine="105" w:firstLineChars="50"/>
                    <w:rPr>
                      <w:rFonts w:cstheme="majorBidi"/>
                      <w:color w:val="000000" w:themeColor="text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A10</w:t>
                  </w:r>
                </w:p>
              </w:tc>
              <w:tc>
                <w:tcPr>
                  <w:tcW w:w="3745" w:type="dxa"/>
                  <w:shd w:val="clear" w:color="auto" w:fill="auto"/>
                  <w:vAlign w:val="center"/>
                </w:tcPr>
                <w:p>
                  <w:pPr>
                    <w:jc w:val="center"/>
                    <w:rPr>
                      <w:rFonts w:cstheme="majorBidi"/>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门诊楼一层</w:t>
                  </w:r>
                  <w:r>
                    <w:rPr>
                      <w:color w:val="000000" w:themeColor="text1"/>
                      <w:sz w:val="21"/>
                      <w:szCs w:val="21"/>
                      <w14:textFill>
                        <w14:solidFill>
                          <w14:schemeClr w14:val="tx1"/>
                        </w14:solidFill>
                      </w14:textFill>
                    </w:rPr>
                    <w:t>血液净化室</w:t>
                  </w:r>
                </w:p>
              </w:tc>
              <w:tc>
                <w:tcPr>
                  <w:tcW w:w="2835" w:type="dxa"/>
                  <w:tcBorders>
                    <w:right w:val="nil"/>
                  </w:tcBorders>
                  <w:shd w:val="clear" w:color="auto" w:fill="auto"/>
                  <w:vAlign w:val="center"/>
                </w:tcPr>
                <w:p>
                  <w:pPr>
                    <w:tabs>
                      <w:tab w:val="left" w:pos="6300"/>
                    </w:tabs>
                    <w:jc w:val="center"/>
                    <w:rPr>
                      <w:rFonts w:cstheme="majorBidi"/>
                      <w:color w:val="000000" w:themeColor="text1"/>
                      <w:sz w:val="21"/>
                      <w:szCs w:val="21"/>
                      <w14:textFill>
                        <w14:solidFill>
                          <w14:schemeClr w14:val="tx1"/>
                        </w14:solidFill>
                      </w14:textFill>
                    </w:rPr>
                  </w:pPr>
                  <w:r>
                    <w:rPr>
                      <w:rFonts w:hint="eastAsia" w:eastAsia="Times New Roman"/>
                      <w:color w:val="000000" w:themeColor="text1"/>
                      <w:sz w:val="21"/>
                      <w:szCs w:val="21"/>
                      <w14:textFill>
                        <w14:solidFill>
                          <w14:schemeClr w14:val="tx1"/>
                        </w14:solidFill>
                      </w14:textFill>
                    </w:rPr>
                    <w:t>0.072±0.0079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7" w:type="dxa"/>
                  <w:tcBorders>
                    <w:top w:val="single" w:color="auto" w:sz="4" w:space="0"/>
                    <w:left w:val="nil"/>
                    <w:bottom w:val="single" w:color="auto" w:sz="4" w:space="0"/>
                  </w:tcBorders>
                  <w:shd w:val="clear" w:color="auto" w:fill="auto"/>
                  <w:vAlign w:val="center"/>
                </w:tcPr>
                <w:p>
                  <w:pPr>
                    <w:tabs>
                      <w:tab w:val="left" w:pos="6300"/>
                    </w:tabs>
                    <w:ind w:firstLine="105" w:firstLineChars="50"/>
                    <w:rPr>
                      <w:rFonts w:cstheme="majorBidi"/>
                      <w:color w:val="000000" w:themeColor="text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A11</w:t>
                  </w:r>
                </w:p>
              </w:tc>
              <w:tc>
                <w:tcPr>
                  <w:tcW w:w="3745" w:type="dxa"/>
                  <w:shd w:val="clear" w:color="auto" w:fill="auto"/>
                  <w:vAlign w:val="center"/>
                </w:tcPr>
                <w:p>
                  <w:pPr>
                    <w:jc w:val="center"/>
                    <w:rPr>
                      <w:rFonts w:cstheme="majorBidi"/>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门诊楼一层</w:t>
                  </w:r>
                  <w:r>
                    <w:rPr>
                      <w:color w:val="000000" w:themeColor="text1"/>
                      <w:sz w:val="21"/>
                      <w:szCs w:val="21"/>
                      <w14:textFill>
                        <w14:solidFill>
                          <w14:schemeClr w14:val="tx1"/>
                        </w14:solidFill>
                      </w14:textFill>
                    </w:rPr>
                    <w:t>药房</w:t>
                  </w:r>
                </w:p>
              </w:tc>
              <w:tc>
                <w:tcPr>
                  <w:tcW w:w="2835" w:type="dxa"/>
                  <w:tcBorders>
                    <w:right w:val="nil"/>
                  </w:tcBorders>
                  <w:shd w:val="clear" w:color="auto" w:fill="auto"/>
                  <w:vAlign w:val="center"/>
                </w:tcPr>
                <w:p>
                  <w:pPr>
                    <w:tabs>
                      <w:tab w:val="left" w:pos="6300"/>
                    </w:tabs>
                    <w:jc w:val="center"/>
                    <w:rPr>
                      <w:rFonts w:cstheme="majorBidi"/>
                      <w:color w:val="000000" w:themeColor="text1"/>
                      <w:sz w:val="21"/>
                      <w:szCs w:val="21"/>
                      <w14:textFill>
                        <w14:solidFill>
                          <w14:schemeClr w14:val="tx1"/>
                        </w14:solidFill>
                      </w14:textFill>
                    </w:rPr>
                  </w:pPr>
                  <w:r>
                    <w:rPr>
                      <w:rFonts w:hint="eastAsia" w:eastAsia="Times New Roman"/>
                      <w:color w:val="000000" w:themeColor="text1"/>
                      <w:sz w:val="21"/>
                      <w:szCs w:val="21"/>
                      <w14:textFill>
                        <w14:solidFill>
                          <w14:schemeClr w14:val="tx1"/>
                        </w14:solidFill>
                      </w14:textFill>
                    </w:rPr>
                    <w:t>0.069±0.0059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7" w:type="dxa"/>
                  <w:tcBorders>
                    <w:top w:val="single" w:color="auto" w:sz="4" w:space="0"/>
                    <w:left w:val="nil"/>
                    <w:bottom w:val="single" w:color="auto" w:sz="4" w:space="0"/>
                  </w:tcBorders>
                  <w:shd w:val="clear" w:color="auto" w:fill="auto"/>
                  <w:vAlign w:val="center"/>
                </w:tcPr>
                <w:p>
                  <w:pPr>
                    <w:tabs>
                      <w:tab w:val="left" w:pos="6300"/>
                    </w:tabs>
                    <w:ind w:firstLine="105" w:firstLineChars="50"/>
                    <w:rPr>
                      <w:rFonts w:cstheme="majorBidi"/>
                      <w:color w:val="000000" w:themeColor="text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A12</w:t>
                  </w:r>
                </w:p>
              </w:tc>
              <w:tc>
                <w:tcPr>
                  <w:tcW w:w="3745" w:type="dxa"/>
                  <w:shd w:val="clear" w:color="auto" w:fill="auto"/>
                  <w:vAlign w:val="center"/>
                </w:tcPr>
                <w:p>
                  <w:pPr>
                    <w:jc w:val="center"/>
                    <w:rPr>
                      <w:rFonts w:cstheme="majorBidi"/>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门诊楼</w:t>
                  </w:r>
                  <w:r>
                    <w:rPr>
                      <w:rFonts w:hint="eastAsia"/>
                      <w:color w:val="000000" w:themeColor="text1"/>
                      <w:sz w:val="21"/>
                      <w:szCs w:val="21"/>
                      <w14:textFill>
                        <w14:solidFill>
                          <w14:schemeClr w14:val="tx1"/>
                        </w14:solidFill>
                      </w14:textFill>
                    </w:rPr>
                    <w:t>一层</w:t>
                  </w:r>
                  <w:r>
                    <w:rPr>
                      <w:color w:val="000000" w:themeColor="text1"/>
                      <w:sz w:val="21"/>
                      <w:szCs w:val="21"/>
                      <w14:textFill>
                        <w14:solidFill>
                          <w14:schemeClr w14:val="tx1"/>
                        </w14:solidFill>
                      </w14:textFill>
                    </w:rPr>
                    <w:t>走廊南</w:t>
                  </w:r>
                </w:p>
              </w:tc>
              <w:tc>
                <w:tcPr>
                  <w:tcW w:w="2835" w:type="dxa"/>
                  <w:tcBorders>
                    <w:right w:val="nil"/>
                  </w:tcBorders>
                  <w:shd w:val="clear" w:color="auto" w:fill="auto"/>
                  <w:vAlign w:val="center"/>
                </w:tcPr>
                <w:p>
                  <w:pPr>
                    <w:tabs>
                      <w:tab w:val="left" w:pos="6300"/>
                    </w:tabs>
                    <w:jc w:val="center"/>
                    <w:rPr>
                      <w:rFonts w:cstheme="majorBidi"/>
                      <w:color w:val="000000" w:themeColor="text1"/>
                      <w:sz w:val="21"/>
                      <w:szCs w:val="21"/>
                      <w14:textFill>
                        <w14:solidFill>
                          <w14:schemeClr w14:val="tx1"/>
                        </w14:solidFill>
                      </w14:textFill>
                    </w:rPr>
                  </w:pPr>
                  <w:r>
                    <w:rPr>
                      <w:rFonts w:hint="eastAsia" w:eastAsia="Times New Roman"/>
                      <w:color w:val="000000" w:themeColor="text1"/>
                      <w:sz w:val="21"/>
                      <w:szCs w:val="21"/>
                      <w14:textFill>
                        <w14:solidFill>
                          <w14:schemeClr w14:val="tx1"/>
                        </w14:solidFill>
                      </w14:textFill>
                    </w:rPr>
                    <w:t>0.081±0.0080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7" w:type="dxa"/>
                  <w:tcBorders>
                    <w:top w:val="single" w:color="auto" w:sz="4" w:space="0"/>
                    <w:left w:val="nil"/>
                    <w:bottom w:val="single" w:color="auto" w:sz="4" w:space="0"/>
                  </w:tcBorders>
                  <w:shd w:val="clear" w:color="auto" w:fill="auto"/>
                  <w:vAlign w:val="center"/>
                </w:tcPr>
                <w:p>
                  <w:pPr>
                    <w:tabs>
                      <w:tab w:val="left" w:pos="6300"/>
                    </w:tabs>
                    <w:ind w:firstLine="105" w:firstLineChars="50"/>
                    <w:rPr>
                      <w:rFonts w:cstheme="majorBidi"/>
                      <w:color w:val="000000" w:themeColor="text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A13</w:t>
                  </w:r>
                </w:p>
              </w:tc>
              <w:tc>
                <w:tcPr>
                  <w:tcW w:w="3745" w:type="dxa"/>
                  <w:shd w:val="clear" w:color="auto" w:fill="auto"/>
                  <w:vAlign w:val="center"/>
                </w:tcPr>
                <w:p>
                  <w:pPr>
                    <w:jc w:val="center"/>
                    <w:rPr>
                      <w:rFonts w:cstheme="majorBidi"/>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门诊楼</w:t>
                  </w:r>
                  <w:r>
                    <w:rPr>
                      <w:rFonts w:hint="eastAsia"/>
                      <w:color w:val="000000" w:themeColor="text1"/>
                      <w:sz w:val="21"/>
                      <w:szCs w:val="21"/>
                      <w14:textFill>
                        <w14:solidFill>
                          <w14:schemeClr w14:val="tx1"/>
                        </w14:solidFill>
                      </w14:textFill>
                    </w:rPr>
                    <w:t>一层</w:t>
                  </w:r>
                  <w:r>
                    <w:rPr>
                      <w:color w:val="000000" w:themeColor="text1"/>
                      <w:sz w:val="21"/>
                      <w:szCs w:val="21"/>
                      <w14:textFill>
                        <w14:solidFill>
                          <w14:schemeClr w14:val="tx1"/>
                        </w14:solidFill>
                      </w14:textFill>
                    </w:rPr>
                    <w:t>走廊北</w:t>
                  </w:r>
                </w:p>
              </w:tc>
              <w:tc>
                <w:tcPr>
                  <w:tcW w:w="2835" w:type="dxa"/>
                  <w:tcBorders>
                    <w:right w:val="nil"/>
                  </w:tcBorders>
                  <w:shd w:val="clear" w:color="auto" w:fill="auto"/>
                  <w:vAlign w:val="center"/>
                </w:tcPr>
                <w:p>
                  <w:pPr>
                    <w:tabs>
                      <w:tab w:val="left" w:pos="6300"/>
                    </w:tabs>
                    <w:jc w:val="center"/>
                    <w:rPr>
                      <w:rFonts w:cstheme="majorBidi"/>
                      <w:color w:val="000000" w:themeColor="text1"/>
                      <w:sz w:val="21"/>
                      <w:szCs w:val="21"/>
                      <w14:textFill>
                        <w14:solidFill>
                          <w14:schemeClr w14:val="tx1"/>
                        </w14:solidFill>
                      </w14:textFill>
                    </w:rPr>
                  </w:pPr>
                  <w:r>
                    <w:rPr>
                      <w:rFonts w:hint="eastAsia" w:eastAsia="Times New Roman"/>
                      <w:color w:val="000000" w:themeColor="text1"/>
                      <w:sz w:val="21"/>
                      <w:szCs w:val="21"/>
                      <w14:textFill>
                        <w14:solidFill>
                          <w14:schemeClr w14:val="tx1"/>
                        </w14:solidFill>
                      </w14:textFill>
                    </w:rPr>
                    <w:t>0.071±0.0061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7" w:type="dxa"/>
                  <w:tcBorders>
                    <w:top w:val="single" w:color="auto" w:sz="4" w:space="0"/>
                    <w:left w:val="nil"/>
                    <w:bottom w:val="single" w:color="auto" w:sz="4" w:space="0"/>
                  </w:tcBorders>
                  <w:shd w:val="clear" w:color="auto" w:fill="auto"/>
                  <w:vAlign w:val="center"/>
                </w:tcPr>
                <w:p>
                  <w:pPr>
                    <w:tabs>
                      <w:tab w:val="left" w:pos="6300"/>
                    </w:tabs>
                    <w:ind w:firstLine="105" w:firstLineChars="50"/>
                    <w:rPr>
                      <w:rFonts w:cstheme="majorBidi"/>
                      <w:color w:val="000000" w:themeColor="text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A14</w:t>
                  </w:r>
                </w:p>
              </w:tc>
              <w:tc>
                <w:tcPr>
                  <w:tcW w:w="3745" w:type="dxa"/>
                  <w:shd w:val="clear" w:color="auto" w:fill="auto"/>
                  <w:vAlign w:val="center"/>
                </w:tcPr>
                <w:p>
                  <w:pPr>
                    <w:jc w:val="center"/>
                    <w:rPr>
                      <w:rFonts w:cstheme="majorBidi"/>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后村小区36号楼</w:t>
                  </w:r>
                  <w:r>
                    <w:rPr>
                      <w:rFonts w:hint="eastAsia"/>
                      <w:color w:val="000000" w:themeColor="text1"/>
                      <w:sz w:val="21"/>
                      <w:szCs w:val="21"/>
                      <w14:textFill>
                        <w14:solidFill>
                          <w14:schemeClr w14:val="tx1"/>
                        </w14:solidFill>
                      </w14:textFill>
                    </w:rPr>
                    <w:t>一层</w:t>
                  </w:r>
                </w:p>
              </w:tc>
              <w:tc>
                <w:tcPr>
                  <w:tcW w:w="2835" w:type="dxa"/>
                  <w:tcBorders>
                    <w:right w:val="nil"/>
                  </w:tcBorders>
                  <w:shd w:val="clear" w:color="auto" w:fill="auto"/>
                  <w:vAlign w:val="center"/>
                </w:tcPr>
                <w:p>
                  <w:pPr>
                    <w:tabs>
                      <w:tab w:val="left" w:pos="6300"/>
                    </w:tabs>
                    <w:jc w:val="center"/>
                    <w:rPr>
                      <w:rFonts w:cstheme="majorBidi"/>
                      <w:color w:val="000000" w:themeColor="text1"/>
                      <w:sz w:val="21"/>
                      <w:szCs w:val="21"/>
                      <w14:textFill>
                        <w14:solidFill>
                          <w14:schemeClr w14:val="tx1"/>
                        </w14:solidFill>
                      </w14:textFill>
                    </w:rPr>
                  </w:pPr>
                  <w:r>
                    <w:rPr>
                      <w:rFonts w:hint="eastAsia" w:eastAsia="Times New Roman"/>
                      <w:color w:val="000000" w:themeColor="text1"/>
                      <w:sz w:val="21"/>
                      <w:szCs w:val="21"/>
                      <w14:textFill>
                        <w14:solidFill>
                          <w14:schemeClr w14:val="tx1"/>
                        </w14:solidFill>
                      </w14:textFill>
                    </w:rPr>
                    <w:t>0.069±0.0059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7" w:type="dxa"/>
                  <w:tcBorders>
                    <w:top w:val="single" w:color="auto" w:sz="4" w:space="0"/>
                    <w:left w:val="nil"/>
                    <w:bottom w:val="single" w:color="auto" w:sz="12" w:space="0"/>
                  </w:tcBorders>
                  <w:shd w:val="clear" w:color="auto" w:fill="auto"/>
                  <w:vAlign w:val="center"/>
                </w:tcPr>
                <w:p>
                  <w:pPr>
                    <w:tabs>
                      <w:tab w:val="left" w:pos="6300"/>
                    </w:tabs>
                    <w:ind w:firstLine="105" w:firstLineChars="50"/>
                    <w:rPr>
                      <w:rFonts w:cstheme="majorBidi"/>
                      <w:color w:val="000000" w:themeColor="text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A15</w:t>
                  </w:r>
                </w:p>
              </w:tc>
              <w:tc>
                <w:tcPr>
                  <w:tcW w:w="3745" w:type="dxa"/>
                  <w:shd w:val="clear" w:color="auto" w:fill="auto"/>
                  <w:vAlign w:val="center"/>
                </w:tcPr>
                <w:p>
                  <w:pPr>
                    <w:jc w:val="center"/>
                    <w:rPr>
                      <w:rFonts w:cstheme="majorBidi"/>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后村小区35号楼</w:t>
                  </w:r>
                  <w:r>
                    <w:rPr>
                      <w:rFonts w:hint="eastAsia"/>
                      <w:color w:val="000000" w:themeColor="text1"/>
                      <w:sz w:val="21"/>
                      <w:szCs w:val="21"/>
                      <w14:textFill>
                        <w14:solidFill>
                          <w14:schemeClr w14:val="tx1"/>
                        </w14:solidFill>
                      </w14:textFill>
                    </w:rPr>
                    <w:t>一层</w:t>
                  </w:r>
                </w:p>
              </w:tc>
              <w:tc>
                <w:tcPr>
                  <w:tcW w:w="2835" w:type="dxa"/>
                  <w:tcBorders>
                    <w:bottom w:val="single" w:color="auto" w:sz="12" w:space="0"/>
                    <w:right w:val="nil"/>
                  </w:tcBorders>
                  <w:shd w:val="clear" w:color="auto" w:fill="auto"/>
                  <w:vAlign w:val="center"/>
                </w:tcPr>
                <w:p>
                  <w:pPr>
                    <w:tabs>
                      <w:tab w:val="left" w:pos="6300"/>
                    </w:tabs>
                    <w:jc w:val="center"/>
                    <w:rPr>
                      <w:rFonts w:cstheme="majorBidi"/>
                      <w:color w:val="000000" w:themeColor="text1"/>
                      <w:sz w:val="21"/>
                      <w:szCs w:val="21"/>
                      <w14:textFill>
                        <w14:solidFill>
                          <w14:schemeClr w14:val="tx1"/>
                        </w14:solidFill>
                      </w14:textFill>
                    </w:rPr>
                  </w:pPr>
                  <w:r>
                    <w:rPr>
                      <w:rFonts w:hint="eastAsia" w:eastAsia="Times New Roman"/>
                      <w:color w:val="000000" w:themeColor="text1"/>
                      <w:sz w:val="21"/>
                      <w:szCs w:val="21"/>
                      <w14:textFill>
                        <w14:solidFill>
                          <w14:schemeClr w14:val="tx1"/>
                        </w14:solidFill>
                      </w14:textFill>
                    </w:rPr>
                    <w:t>0.073±0.0080</w:t>
                  </w:r>
                </w:p>
              </w:tc>
            </w:tr>
            <w:bookmarkEnd w:id="20"/>
          </w:tbl>
          <w:p>
            <w:pPr>
              <w:tabs>
                <w:tab w:val="left" w:pos="6300"/>
              </w:tabs>
              <w:ind w:left="900" w:leftChars="300" w:hanging="180" w:hangingChars="100"/>
              <w:rPr>
                <w:color w:val="000000"/>
                <w:sz w:val="18"/>
                <w:szCs w:val="18"/>
              </w:rPr>
            </w:pPr>
            <w:r>
              <w:rPr>
                <w:rFonts w:hint="eastAsia"/>
                <w:color w:val="000000"/>
                <w:sz w:val="18"/>
                <w:szCs w:val="18"/>
              </w:rPr>
              <w:t>备注：监测结果已扣除仪器对宇宙射线响应值，本结果仅对本次监测有效</w:t>
            </w:r>
          </w:p>
          <w:p>
            <w:pPr>
              <w:pStyle w:val="2"/>
              <w:ind w:firstLine="480"/>
              <w:rPr>
                <w:rFonts w:eastAsia="等线"/>
              </w:rPr>
            </w:pPr>
            <w:r>
              <w:rPr>
                <w:rFonts w:hint="eastAsia" w:eastAsia="宋体"/>
                <w:color w:val="000000"/>
                <w:kern w:val="0"/>
              </w:rPr>
              <w:t>根据表8</w:t>
            </w:r>
            <w:r>
              <w:rPr>
                <w:rFonts w:eastAsia="宋体"/>
                <w:color w:val="000000"/>
                <w:kern w:val="0"/>
              </w:rPr>
              <w:t>-3</w:t>
            </w:r>
            <w:r>
              <w:rPr>
                <w:rFonts w:hint="eastAsia" w:eastAsia="宋体"/>
                <w:color w:val="000000"/>
                <w:kern w:val="0"/>
              </w:rPr>
              <w:t>可知通用环球中铁西安医院数字减影血管造影机核技术利用项目辐射环境质量现状监测测值范围是：</w:t>
            </w:r>
            <w:r>
              <w:rPr>
                <w:rFonts w:eastAsia="宋体"/>
                <w:color w:val="000000"/>
                <w:kern w:val="0"/>
              </w:rPr>
              <w:t>0.056</w:t>
            </w:r>
            <w:r>
              <w:rPr>
                <w:rFonts w:hint="eastAsia" w:ascii="微软雅黑" w:hAnsi="微软雅黑" w:eastAsia="微软雅黑" w:cs="微软雅黑"/>
                <w:color w:val="000000"/>
                <w:kern w:val="0"/>
              </w:rPr>
              <w:t>〜</w:t>
            </w:r>
            <w:r>
              <w:rPr>
                <w:rFonts w:eastAsia="宋体"/>
                <w:color w:val="000000"/>
                <w:kern w:val="0"/>
              </w:rPr>
              <w:t xml:space="preserve">0.081μGy/h, </w:t>
            </w:r>
            <w:r>
              <w:rPr>
                <w:rFonts w:hint="eastAsia" w:eastAsia="宋体"/>
                <w:color w:val="000000"/>
                <w:kern w:val="0"/>
              </w:rPr>
              <w:t>即“</w:t>
            </w:r>
            <w:r>
              <w:rPr>
                <w:rFonts w:eastAsia="宋体"/>
                <w:color w:val="000000"/>
                <w:kern w:val="0"/>
              </w:rPr>
              <w:t>56</w:t>
            </w:r>
            <w:r>
              <w:rPr>
                <w:rFonts w:hint="eastAsia" w:ascii="微软雅黑" w:hAnsi="微软雅黑" w:eastAsia="微软雅黑" w:cs="微软雅黑"/>
                <w:color w:val="000000"/>
                <w:kern w:val="0"/>
              </w:rPr>
              <w:t>〜</w:t>
            </w:r>
            <w:r>
              <w:rPr>
                <w:rFonts w:eastAsia="宋体"/>
                <w:color w:val="000000"/>
                <w:kern w:val="0"/>
              </w:rPr>
              <w:t>81nGy/h”</w:t>
            </w:r>
            <w:r>
              <w:rPr>
                <w:rFonts w:hint="eastAsia" w:eastAsia="宋体"/>
                <w:color w:val="000000"/>
                <w:kern w:val="0"/>
              </w:rPr>
              <w:t>。经与西安市原野、道路、建筑物室内γ辐射剂量率调查结果（上表8</w:t>
            </w:r>
            <w:r>
              <w:rPr>
                <w:rFonts w:eastAsia="宋体"/>
                <w:color w:val="000000"/>
                <w:kern w:val="0"/>
              </w:rPr>
              <w:t>-</w:t>
            </w:r>
            <w:r>
              <w:rPr>
                <w:rFonts w:hint="eastAsia" w:eastAsia="宋体"/>
                <w:color w:val="000000"/>
                <w:kern w:val="0"/>
              </w:rPr>
              <w:t>2）比较，本项目拟建场所辐射环境现状监测结果属于天然辐射环境本底水平，本项目所在地辐射环境现状质量良好。</w:t>
            </w:r>
          </w:p>
          <w:p>
            <w:pPr>
              <w:pStyle w:val="2"/>
              <w:ind w:firstLine="480"/>
              <w:rPr>
                <w:rFonts w:eastAsia="等线"/>
              </w:rPr>
            </w:pPr>
          </w:p>
          <w:p>
            <w:pPr>
              <w:pStyle w:val="2"/>
              <w:ind w:firstLine="480"/>
              <w:rPr>
                <w:rFonts w:eastAsia="等线"/>
              </w:rPr>
            </w:pPr>
          </w:p>
          <w:p>
            <w:pPr>
              <w:pStyle w:val="2"/>
              <w:ind w:firstLine="480"/>
              <w:rPr>
                <w:rFonts w:eastAsia="等线"/>
              </w:rPr>
            </w:pPr>
          </w:p>
          <w:p>
            <w:pPr>
              <w:pStyle w:val="2"/>
              <w:ind w:firstLine="480"/>
              <w:rPr>
                <w:rFonts w:eastAsia="等线"/>
              </w:rPr>
            </w:pPr>
          </w:p>
          <w:p>
            <w:pPr>
              <w:pStyle w:val="2"/>
              <w:ind w:firstLine="480"/>
              <w:rPr>
                <w:rFonts w:eastAsia="等线"/>
              </w:rPr>
            </w:pPr>
          </w:p>
          <w:p>
            <w:pPr>
              <w:pStyle w:val="2"/>
              <w:ind w:firstLine="0" w:firstLineChars="0"/>
              <w:rPr>
                <w:rFonts w:eastAsia="等线"/>
              </w:rPr>
            </w:pPr>
          </w:p>
        </w:tc>
      </w:tr>
    </w:tbl>
    <w:p>
      <w:pPr>
        <w:pStyle w:val="3"/>
        <w:rPr>
          <w:color w:val="000000"/>
          <w:sz w:val="28"/>
          <w:szCs w:val="28"/>
        </w:rPr>
      </w:pPr>
      <w:bookmarkStart w:id="21" w:name="_Toc501805941"/>
      <w:r>
        <w:rPr>
          <w:b w:val="0"/>
          <w:bCs w:val="0"/>
          <w:color w:val="000000"/>
        </w:rPr>
        <w:br w:type="page"/>
      </w:r>
      <w:bookmarkEnd w:id="21"/>
      <w:bookmarkStart w:id="22" w:name="_Toc31830"/>
      <w:r>
        <w:rPr>
          <w:color w:val="000000"/>
          <w:sz w:val="28"/>
          <w:szCs w:val="28"/>
        </w:rPr>
        <w:t>表9 项目工程分析与源项</w:t>
      </w:r>
      <w:bookmarkEnd w:id="22"/>
    </w:p>
    <w:tbl>
      <w:tblPr>
        <w:tblStyle w:val="16"/>
        <w:tblW w:w="8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9" w:hRule="atLeast"/>
          <w:jc w:val="center"/>
        </w:trPr>
        <w:tc>
          <w:tcPr>
            <w:tcW w:w="8741" w:type="dxa"/>
          </w:tcPr>
          <w:p>
            <w:pPr>
              <w:pStyle w:val="2"/>
              <w:ind w:firstLine="0" w:firstLineChars="0"/>
              <w:rPr>
                <w:rFonts w:eastAsia="宋体"/>
                <w:color w:val="000000"/>
                <w:kern w:val="4"/>
              </w:rPr>
            </w:pPr>
            <w:r>
              <w:rPr>
                <w:rFonts w:eastAsia="宋体"/>
                <w:b/>
                <w:bCs/>
                <w:color w:val="000000"/>
                <w:sz w:val="28"/>
                <w:szCs w:val="28"/>
              </w:rPr>
              <w:t>9.1 工程设备和工艺分析</w:t>
            </w:r>
          </w:p>
          <w:p>
            <w:pPr>
              <w:spacing w:before="105" w:line="360" w:lineRule="auto"/>
              <w:ind w:firstLine="482" w:firstLineChars="200"/>
              <w:rPr>
                <w:b/>
                <w:color w:val="000000"/>
              </w:rPr>
            </w:pPr>
            <w:r>
              <w:rPr>
                <w:b/>
                <w:bCs/>
                <w:color w:val="000000"/>
              </w:rPr>
              <w:t>9.1.1 设备</w:t>
            </w:r>
            <w:r>
              <w:rPr>
                <w:rFonts w:hint="eastAsia"/>
                <w:b/>
                <w:bCs/>
                <w:color w:val="000000"/>
              </w:rPr>
              <w:t>组成</w:t>
            </w:r>
          </w:p>
          <w:p>
            <w:pPr>
              <w:pStyle w:val="2"/>
              <w:ind w:firstLine="480"/>
              <w:rPr>
                <w:rFonts w:eastAsia="宋体"/>
                <w:color w:val="000000"/>
              </w:rPr>
            </w:pPr>
            <w:r>
              <w:rPr>
                <w:rFonts w:eastAsia="宋体"/>
                <w:color w:val="000000"/>
              </w:rPr>
              <w:t>DSA（Digital Substraction Angiography，数字减影血管造影</w:t>
            </w:r>
            <w:r>
              <w:rPr>
                <w:rFonts w:hint="eastAsia" w:eastAsia="宋体"/>
                <w:color w:val="000000"/>
              </w:rPr>
              <w:t>机</w:t>
            </w:r>
            <w:r>
              <w:rPr>
                <w:rFonts w:eastAsia="宋体"/>
                <w:color w:val="000000"/>
              </w:rPr>
              <w:t>）因其整体结构像大写的“C”，因此也称作C型臂X光机。DSA主要由X射线发生系统、影像接收器和显示系统、影像处理和系统控制部分、机架系统和导管床、影像存储和传输系统、防护屏及防护铅帘等构成。</w:t>
            </w:r>
          </w:p>
          <w:p>
            <w:pPr>
              <w:pStyle w:val="2"/>
              <w:ind w:firstLine="480"/>
              <w:rPr>
                <w:rFonts w:eastAsia="宋体"/>
                <w:color w:val="000000"/>
              </w:rPr>
            </w:pPr>
            <w:r>
              <w:rPr>
                <w:rFonts w:eastAsia="宋体"/>
                <w:color w:val="000000"/>
              </w:rPr>
              <w:t>常见数字减影血管造影</w:t>
            </w:r>
            <w:r>
              <w:rPr>
                <w:rFonts w:hint="eastAsia" w:eastAsia="宋体"/>
                <w:color w:val="000000"/>
              </w:rPr>
              <w:t>机</w:t>
            </w:r>
            <w:r>
              <w:rPr>
                <w:rFonts w:eastAsia="宋体"/>
                <w:color w:val="000000"/>
              </w:rPr>
              <w:t>外观见图9-1。</w:t>
            </w:r>
          </w:p>
          <w:p>
            <w:pPr>
              <w:pStyle w:val="2"/>
              <w:ind w:firstLine="0" w:firstLineChars="0"/>
              <w:jc w:val="center"/>
              <w:rPr>
                <w:rFonts w:eastAsia="宋体"/>
                <w:color w:val="000000"/>
              </w:rPr>
            </w:pPr>
            <w:r>
              <mc:AlternateContent>
                <mc:Choice Requires="wps">
                  <w:drawing>
                    <wp:anchor distT="0" distB="0" distL="114300" distR="114300" simplePos="0" relativeHeight="251662336" behindDoc="0" locked="0" layoutInCell="1" allowOverlap="1">
                      <wp:simplePos x="0" y="0"/>
                      <wp:positionH relativeFrom="column">
                        <wp:posOffset>584835</wp:posOffset>
                      </wp:positionH>
                      <wp:positionV relativeFrom="paragraph">
                        <wp:posOffset>26670</wp:posOffset>
                      </wp:positionV>
                      <wp:extent cx="4246245" cy="2705100"/>
                      <wp:effectExtent l="10160" t="18415" r="10795" b="10160"/>
                      <wp:wrapNone/>
                      <wp:docPr id="16" name="矩形 1916"/>
                      <wp:cNvGraphicFramePr/>
                      <a:graphic xmlns:a="http://schemas.openxmlformats.org/drawingml/2006/main">
                        <a:graphicData uri="http://schemas.microsoft.com/office/word/2010/wordprocessingShape">
                          <wps:wsp>
                            <wps:cNvSpPr>
                              <a:spLocks noChangeArrowheads="1"/>
                            </wps:cNvSpPr>
                            <wps:spPr bwMode="auto">
                              <a:xfrm>
                                <a:off x="0" y="0"/>
                                <a:ext cx="4246245" cy="2705100"/>
                              </a:xfrm>
                              <a:prstGeom prst="rect">
                                <a:avLst/>
                              </a:prstGeom>
                              <a:noFill/>
                              <a:ln w="1905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矩形 1916" o:spid="_x0000_s1026" o:spt="1" style="position:absolute;left:0pt;margin-left:46.05pt;margin-top:2.1pt;height:213pt;width:334.35pt;z-index:251662336;mso-width-relative:page;mso-height-relative:page;" filled="f" stroked="t" coordsize="21600,21600" o:gfxdata="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W7UR7YAAAACAEAAA8AAAAAAAAAAQAgAAAAIgAAAGRycy9kb3du&#10;cmV2LnhtbFBLAQIUABQAAAAIAIdO4kDcIGWSOAIAAFoEAAAOAAAAAAAAAAEAIAAAACcBAABkcnMv&#10;ZTJvRG9jLnhtbFBLBQYAAAAABgAGAFkBAADRBQAAAAA=&#10;">
                      <v:fill on="f" focussize="0,0"/>
                      <v:stroke weight="1.5pt" color="#000000" miterlimit="8" joinstyle="miter"/>
                      <v:imagedata o:title=""/>
                      <o:lock v:ext="edit" aspectratio="f"/>
                    </v:rect>
                  </w:pict>
                </mc:Fallback>
              </mc:AlternateContent>
            </w:r>
            <w:r>
              <w:rPr>
                <w:rFonts w:eastAsia="宋体"/>
                <w:color w:val="000000"/>
              </w:rPr>
              <w:drawing>
                <wp:inline distT="0" distB="0" distL="0" distR="0">
                  <wp:extent cx="4253865" cy="2699385"/>
                  <wp:effectExtent l="0" t="0" r="0" b="0"/>
                  <wp:docPr id="11"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253865" cy="2699385"/>
                          </a:xfrm>
                          <a:prstGeom prst="rect">
                            <a:avLst/>
                          </a:prstGeom>
                          <a:noFill/>
                          <a:ln>
                            <a:noFill/>
                          </a:ln>
                        </pic:spPr>
                      </pic:pic>
                    </a:graphicData>
                  </a:graphic>
                </wp:inline>
              </w:drawing>
            </w:r>
          </w:p>
          <w:p>
            <w:pPr>
              <w:pStyle w:val="47"/>
              <w:rPr>
                <w:rFonts w:eastAsia="黑体"/>
                <w:bCs/>
                <w:spacing w:val="-4"/>
                <w:sz w:val="24"/>
              </w:rPr>
            </w:pPr>
            <w:r>
              <w:rPr>
                <w:rFonts w:eastAsia="黑体"/>
                <w:bCs/>
                <w:spacing w:val="-4"/>
                <w:sz w:val="24"/>
              </w:rPr>
              <w:t xml:space="preserve">图9-1  </w:t>
            </w:r>
            <w:r>
              <w:rPr>
                <w:rFonts w:hint="eastAsia" w:eastAsia="黑体"/>
                <w:bCs/>
                <w:spacing w:val="-4"/>
                <w:sz w:val="24"/>
              </w:rPr>
              <w:t>数字减影血管造影机</w:t>
            </w:r>
            <w:r>
              <w:rPr>
                <w:rFonts w:eastAsia="黑体"/>
                <w:bCs/>
                <w:spacing w:val="-4"/>
                <w:sz w:val="24"/>
              </w:rPr>
              <w:t>外观图</w:t>
            </w:r>
          </w:p>
          <w:p>
            <w:pPr>
              <w:autoSpaceDE w:val="0"/>
              <w:autoSpaceDN w:val="0"/>
              <w:adjustRightInd w:val="0"/>
              <w:spacing w:line="360" w:lineRule="auto"/>
              <w:ind w:firstLine="482" w:firstLineChars="200"/>
              <w:rPr>
                <w:color w:val="000000"/>
                <w:kern w:val="0"/>
              </w:rPr>
            </w:pPr>
            <w:r>
              <w:rPr>
                <w:b/>
                <w:bCs/>
                <w:color w:val="000000"/>
              </w:rPr>
              <w:t>9.1.</w:t>
            </w:r>
            <w:r>
              <w:rPr>
                <w:rFonts w:hint="eastAsia"/>
                <w:b/>
                <w:bCs/>
                <w:color w:val="000000"/>
              </w:rPr>
              <w:t>2</w:t>
            </w:r>
            <w:r>
              <w:rPr>
                <w:b/>
                <w:bCs/>
                <w:color w:val="000000"/>
              </w:rPr>
              <w:t xml:space="preserve"> </w:t>
            </w:r>
            <w:r>
              <w:rPr>
                <w:rFonts w:hint="eastAsia"/>
                <w:b/>
                <w:bCs/>
                <w:color w:val="000000"/>
              </w:rPr>
              <w:t>工作原理</w:t>
            </w:r>
          </w:p>
          <w:p>
            <w:pPr>
              <w:autoSpaceDE w:val="0"/>
              <w:autoSpaceDN w:val="0"/>
              <w:adjustRightInd w:val="0"/>
              <w:spacing w:line="360" w:lineRule="auto"/>
              <w:ind w:firstLine="480" w:firstLineChars="200"/>
              <w:rPr>
                <w:color w:val="000000"/>
              </w:rPr>
            </w:pPr>
            <w:r>
              <w:rPr>
                <w:rFonts w:hint="eastAsia"/>
                <w:color w:val="000000"/>
                <w:kern w:val="0"/>
              </w:rPr>
              <w:t>数字减影血管造影机（DSA）</w:t>
            </w:r>
            <w:r>
              <w:rPr>
                <w:color w:val="000000"/>
                <w:kern w:val="0"/>
              </w:rPr>
              <w:t>是通过电子计算机进行辅助成像的血管造影方法，它是应用计算机程序进行两次成像完成的。在注入造影剂之前，首先进行第一次成像，并用计算机将图像转换成数字信号储存起来。注入造影剂后，再次成像并转换成数字信号。两次数字相减，消除相同的信号，得到一个只有造影剂的血管图像。这种图像较以往所用的常规脑血管造影所显示的图像更清晰和直观，一些精细的血管结构亦能显示出来，对比度分辨率高，减去了血管以外的背景，尤其使与骨骼重叠的血管能清楚显示。由于造影剂用量少，浓度低，损伤小，较安全。通过</w:t>
            </w:r>
            <w:r>
              <w:rPr>
                <w:rFonts w:hint="eastAsia"/>
                <w:color w:val="000000"/>
                <w:kern w:val="0"/>
              </w:rPr>
              <w:t>数字减影血管造影机（DSA）</w:t>
            </w:r>
            <w:r>
              <w:rPr>
                <w:color w:val="000000"/>
                <w:kern w:val="0"/>
              </w:rPr>
              <w:t>处理的图像，使血管的影像更为清晰，在进行介入手术时更为安全。</w:t>
            </w:r>
            <w:r>
              <w:rPr>
                <w:color w:val="000000"/>
              </w:rPr>
              <w:t>在进行</w:t>
            </w:r>
            <w:r>
              <w:rPr>
                <w:rFonts w:hint="eastAsia"/>
                <w:color w:val="000000"/>
                <w:kern w:val="0"/>
              </w:rPr>
              <w:t>数字减影血管造影机（DSA）</w:t>
            </w:r>
            <w:r>
              <w:rPr>
                <w:color w:val="000000"/>
              </w:rPr>
              <w:t>手术时，医务人员将介入导管经皮下血管注入，通过</w:t>
            </w:r>
            <w:r>
              <w:rPr>
                <w:rFonts w:hint="eastAsia"/>
                <w:color w:val="000000"/>
                <w:kern w:val="0"/>
              </w:rPr>
              <w:t>数字减影血管造影机（DSA）</w:t>
            </w:r>
            <w:r>
              <w:rPr>
                <w:color w:val="000000"/>
              </w:rPr>
              <w:t>自带的X射线成像系统，将导管在血管内的影像显现出来。通过DSA处理的图像，使血管的影像更为清晰，在进行介入手术时更为安全。</w:t>
            </w:r>
            <w:r>
              <w:rPr>
                <w:rFonts w:hint="eastAsia"/>
                <w:color w:val="000000"/>
                <w:kern w:val="0"/>
              </w:rPr>
              <w:t>数字减影血管造影机（DSA）</w:t>
            </w:r>
            <w:r>
              <w:rPr>
                <w:color w:val="000000"/>
              </w:rPr>
              <w:t>工作示意图见图9-2。</w:t>
            </w:r>
          </w:p>
          <w:p>
            <w:pPr>
              <w:spacing w:line="360" w:lineRule="auto"/>
              <w:jc w:val="center"/>
              <w:rPr>
                <w:color w:val="000000"/>
              </w:rPr>
            </w:pPr>
            <w:r>
              <w:rPr>
                <w:color w:val="000000"/>
              </w:rPr>
              <mc:AlternateContent>
                <mc:Choice Requires="wps">
                  <w:drawing>
                    <wp:anchor distT="0" distB="0" distL="114300" distR="114300" simplePos="0" relativeHeight="251661312" behindDoc="0" locked="0" layoutInCell="1" allowOverlap="1">
                      <wp:simplePos x="0" y="0"/>
                      <wp:positionH relativeFrom="column">
                        <wp:posOffset>3129915</wp:posOffset>
                      </wp:positionH>
                      <wp:positionV relativeFrom="paragraph">
                        <wp:posOffset>1917065</wp:posOffset>
                      </wp:positionV>
                      <wp:extent cx="1367790" cy="309880"/>
                      <wp:effectExtent l="2540" t="1270" r="1270" b="3175"/>
                      <wp:wrapNone/>
                      <wp:docPr id="15" name="文本框 1760"/>
                      <wp:cNvGraphicFramePr/>
                      <a:graphic xmlns:a="http://schemas.openxmlformats.org/drawingml/2006/main">
                        <a:graphicData uri="http://schemas.microsoft.com/office/word/2010/wordprocessingShape">
                          <wps:wsp>
                            <wps:cNvSpPr txBox="1">
                              <a:spLocks noChangeArrowheads="1"/>
                            </wps:cNvSpPr>
                            <wps:spPr bwMode="auto">
                              <a:xfrm>
                                <a:off x="0" y="0"/>
                                <a:ext cx="1367790" cy="309880"/>
                              </a:xfrm>
                              <a:prstGeom prst="rect">
                                <a:avLst/>
                              </a:prstGeom>
                              <a:noFill/>
                              <a:ln>
                                <a:noFill/>
                              </a:ln>
                            </wps:spPr>
                            <wps:txbx>
                              <w:txbxContent>
                                <w:p>
                                  <w:pPr>
                                    <w:ind w:firstLine="210" w:firstLineChars="100"/>
                                    <w:rPr>
                                      <w:sz w:val="21"/>
                                      <w:szCs w:val="21"/>
                                    </w:rPr>
                                  </w:pPr>
                                  <w:r>
                                    <w:rPr>
                                      <w:sz w:val="21"/>
                                      <w:szCs w:val="21"/>
                                    </w:rPr>
                                    <w:t>X</w:t>
                                  </w:r>
                                  <w:r>
                                    <w:rPr>
                                      <w:rFonts w:hint="eastAsia"/>
                                      <w:sz w:val="21"/>
                                      <w:szCs w:val="21"/>
                                    </w:rPr>
                                    <w:t>射线发生系统</w:t>
                                  </w:r>
                                </w:p>
                              </w:txbxContent>
                            </wps:txbx>
                            <wps:bodyPr rot="0" vert="horz" wrap="square" lIns="91440" tIns="45720" rIns="91440" bIns="45720" anchor="t" anchorCtr="0" upright="1">
                              <a:noAutofit/>
                            </wps:bodyPr>
                          </wps:wsp>
                        </a:graphicData>
                      </a:graphic>
                    </wp:anchor>
                  </w:drawing>
                </mc:Choice>
                <mc:Fallback>
                  <w:pict>
                    <v:shape id="文本框 1760" o:spid="_x0000_s1026" o:spt="202" type="#_x0000_t202" style="position:absolute;left:0pt;margin-left:246.45pt;margin-top:150.95pt;height:24.4pt;width:107.7pt;z-index:251661312;mso-width-relative:page;mso-height-relative:page;" filled="f" stroked="f" coordsize="21600,21600" o:gfxdata="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QtTwI2AAAAAsB&#10;AAAPAAAAAAAAAAEAIAAAACIAAABkcnMvZG93bnJldi54bWxQSwECFAAUAAAACACHTuJADNvaGRsC&#10;AAAZBAAADgAAAAAAAAABACAAAAAnAQAAZHJzL2Uyb0RvYy54bWxQSwUGAAAAAAYABgBZAQAAtAUA&#10;AAAA&#10;">
                      <v:fill on="f" focussize="0,0"/>
                      <v:stroke on="f"/>
                      <v:imagedata o:title=""/>
                      <o:lock v:ext="edit" aspectratio="f"/>
                      <v:textbox>
                        <w:txbxContent>
                          <w:p>
                            <w:pPr>
                              <w:ind w:firstLine="210" w:firstLineChars="100"/>
                              <w:rPr>
                                <w:sz w:val="21"/>
                                <w:szCs w:val="21"/>
                              </w:rPr>
                            </w:pPr>
                            <w:r>
                              <w:rPr>
                                <w:sz w:val="21"/>
                                <w:szCs w:val="21"/>
                              </w:rPr>
                              <w:t>X</w:t>
                            </w:r>
                            <w:r>
                              <w:rPr>
                                <w:rFonts w:hint="eastAsia"/>
                                <w:sz w:val="21"/>
                                <w:szCs w:val="21"/>
                              </w:rPr>
                              <w:t>射线发生系统</w:t>
                            </w:r>
                          </w:p>
                        </w:txbxContent>
                      </v:textbox>
                    </v:shape>
                  </w:pict>
                </mc:Fallback>
              </mc:AlternateContent>
            </w:r>
            <w:r>
              <w:rPr>
                <w:color w:val="000000"/>
              </w:rPr>
              <mc:AlternateContent>
                <mc:Choice Requires="wps">
                  <w:drawing>
                    <wp:anchor distT="0" distB="0" distL="114300" distR="114300" simplePos="0" relativeHeight="251660288" behindDoc="0" locked="0" layoutInCell="1" allowOverlap="1">
                      <wp:simplePos x="0" y="0"/>
                      <wp:positionH relativeFrom="column">
                        <wp:posOffset>2541270</wp:posOffset>
                      </wp:positionH>
                      <wp:positionV relativeFrom="paragraph">
                        <wp:posOffset>175260</wp:posOffset>
                      </wp:positionV>
                      <wp:extent cx="1320165" cy="501015"/>
                      <wp:effectExtent l="4445" t="2540" r="0" b="1270"/>
                      <wp:wrapNone/>
                      <wp:docPr id="14" name="文本框 1759"/>
                      <wp:cNvGraphicFramePr/>
                      <a:graphic xmlns:a="http://schemas.openxmlformats.org/drawingml/2006/main">
                        <a:graphicData uri="http://schemas.microsoft.com/office/word/2010/wordprocessingShape">
                          <wps:wsp>
                            <wps:cNvSpPr txBox="1">
                              <a:spLocks noChangeArrowheads="1"/>
                            </wps:cNvSpPr>
                            <wps:spPr bwMode="auto">
                              <a:xfrm>
                                <a:off x="0" y="0"/>
                                <a:ext cx="1320165" cy="501015"/>
                              </a:xfrm>
                              <a:prstGeom prst="rect">
                                <a:avLst/>
                              </a:prstGeom>
                              <a:noFill/>
                              <a:ln>
                                <a:noFill/>
                              </a:ln>
                            </wps:spPr>
                            <wps:txbx>
                              <w:txbxContent>
                                <w:p>
                                  <w:pPr>
                                    <w:rPr>
                                      <w:sz w:val="21"/>
                                      <w:szCs w:val="21"/>
                                    </w:rPr>
                                  </w:pPr>
                                  <w:r>
                                    <w:rPr>
                                      <w:rFonts w:hint="eastAsia"/>
                                      <w:sz w:val="21"/>
                                      <w:szCs w:val="21"/>
                                    </w:rPr>
                                    <w:t>接收器</w:t>
                                  </w:r>
                                </w:p>
                              </w:txbxContent>
                            </wps:txbx>
                            <wps:bodyPr rot="0" vert="horz" wrap="square" lIns="91440" tIns="45720" rIns="91440" bIns="45720" anchor="t" anchorCtr="0" upright="1">
                              <a:noAutofit/>
                            </wps:bodyPr>
                          </wps:wsp>
                        </a:graphicData>
                      </a:graphic>
                    </wp:anchor>
                  </w:drawing>
                </mc:Choice>
                <mc:Fallback>
                  <w:pict>
                    <v:shape id="文本框 1759" o:spid="_x0000_s1026" o:spt="202" type="#_x0000_t202" style="position:absolute;left:0pt;margin-left:200.1pt;margin-top:13.8pt;height:39.45pt;width:103.95pt;z-index:251660288;mso-width-relative:page;mso-height-relative:page;" filled="f" stroked="f" coordsize="21600,21600" o:gfxdata="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FuLN9YAAAAKAQAADwAA&#10;AAAAAAABACAAAAAiAAAAZHJzL2Rvd25yZXYueG1sUEsBAhQAFAAAAAgAh07iQOLBmiIYAgAAGQQA&#10;AA4AAAAAAAAAAQAgAAAAJQEAAGRycy9lMm9Eb2MueG1sUEsFBgAAAAAGAAYAWQEAAK8FAAAAAA==&#10;">
                      <v:fill on="f" focussize="0,0"/>
                      <v:stroke on="f"/>
                      <v:imagedata o:title=""/>
                      <o:lock v:ext="edit" aspectratio="f"/>
                      <v:textbox>
                        <w:txbxContent>
                          <w:p>
                            <w:pPr>
                              <w:rPr>
                                <w:sz w:val="21"/>
                                <w:szCs w:val="21"/>
                              </w:rPr>
                            </w:pPr>
                            <w:r>
                              <w:rPr>
                                <w:rFonts w:hint="eastAsia"/>
                                <w:sz w:val="21"/>
                                <w:szCs w:val="21"/>
                              </w:rPr>
                              <w:t>接收器</w:t>
                            </w:r>
                          </w:p>
                        </w:txbxContent>
                      </v:textbox>
                    </v:shape>
                  </w:pict>
                </mc:Fallback>
              </mc:AlternateContent>
            </w:r>
            <w:r>
              <w:rPr>
                <w:color w:val="000000"/>
              </w:rPr>
              <w:drawing>
                <wp:inline distT="0" distB="0" distL="0" distR="0">
                  <wp:extent cx="3595370" cy="2194560"/>
                  <wp:effectExtent l="0" t="0" r="0" b="0"/>
                  <wp:docPr id="10"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6"/>
                          <pic:cNvPicPr>
                            <a:picLocks noChangeAspect="1" noChangeArrowheads="1"/>
                          </pic:cNvPicPr>
                        </pic:nvPicPr>
                        <pic:blipFill>
                          <a:blip r:embed="rId18">
                            <a:lum bright="-20000" contrast="60000"/>
                            <a:extLst>
                              <a:ext uri="{28A0092B-C50C-407E-A947-70E740481C1C}">
                                <a14:useLocalDpi xmlns:a14="http://schemas.microsoft.com/office/drawing/2010/main" val="0"/>
                              </a:ext>
                            </a:extLst>
                          </a:blip>
                          <a:srcRect/>
                          <a:stretch>
                            <a:fillRect/>
                          </a:stretch>
                        </pic:blipFill>
                        <pic:spPr>
                          <a:xfrm>
                            <a:off x="0" y="0"/>
                            <a:ext cx="3595370" cy="2194560"/>
                          </a:xfrm>
                          <a:prstGeom prst="rect">
                            <a:avLst/>
                          </a:prstGeom>
                          <a:noFill/>
                          <a:ln>
                            <a:noFill/>
                          </a:ln>
                          <a:effectLst/>
                        </pic:spPr>
                      </pic:pic>
                    </a:graphicData>
                  </a:graphic>
                </wp:inline>
              </w:drawing>
            </w:r>
          </w:p>
          <w:p>
            <w:pPr>
              <w:pStyle w:val="47"/>
              <w:rPr>
                <w:rFonts w:eastAsia="黑体"/>
                <w:bCs/>
                <w:spacing w:val="-4"/>
                <w:sz w:val="24"/>
              </w:rPr>
            </w:pPr>
            <w:r>
              <w:rPr>
                <w:rFonts w:eastAsia="黑体"/>
                <w:bCs/>
                <w:spacing w:val="-4"/>
                <w:sz w:val="24"/>
              </w:rPr>
              <w:t xml:space="preserve">图9-2  </w:t>
            </w:r>
            <w:r>
              <w:rPr>
                <w:rFonts w:hint="eastAsia" w:eastAsia="黑体"/>
                <w:bCs/>
                <w:spacing w:val="-4"/>
                <w:sz w:val="24"/>
              </w:rPr>
              <w:t>数字减影血管造影机（DSA）</w:t>
            </w:r>
            <w:r>
              <w:rPr>
                <w:rFonts w:eastAsia="黑体"/>
                <w:bCs/>
                <w:spacing w:val="-4"/>
                <w:sz w:val="24"/>
              </w:rPr>
              <w:t>工作示意图</w:t>
            </w:r>
          </w:p>
          <w:p>
            <w:pPr>
              <w:pStyle w:val="45"/>
              <w:spacing w:line="360" w:lineRule="auto"/>
              <w:ind w:firstLine="482" w:firstLineChars="200"/>
              <w:jc w:val="both"/>
              <w:rPr>
                <w:rFonts w:ascii="Times New Roman" w:cs="Times New Roman"/>
                <w:b/>
                <w:bCs/>
              </w:rPr>
            </w:pPr>
            <w:r>
              <w:rPr>
                <w:rFonts w:ascii="Times New Roman" w:cs="Times New Roman"/>
                <w:b/>
                <w:bCs/>
              </w:rPr>
              <w:t>9.1.</w:t>
            </w:r>
            <w:r>
              <w:rPr>
                <w:rFonts w:hint="eastAsia" w:ascii="Times New Roman" w:cs="Times New Roman"/>
                <w:b/>
                <w:bCs/>
              </w:rPr>
              <w:t>3</w:t>
            </w:r>
            <w:r>
              <w:rPr>
                <w:rFonts w:ascii="Times New Roman" w:cs="Times New Roman"/>
                <w:b/>
                <w:bCs/>
              </w:rPr>
              <w:t xml:space="preserve"> 设备</w:t>
            </w:r>
            <w:r>
              <w:rPr>
                <w:rFonts w:hint="eastAsia" w:ascii="Times New Roman" w:cs="Times New Roman"/>
                <w:b/>
                <w:bCs/>
              </w:rPr>
              <w:t>组成</w:t>
            </w:r>
          </w:p>
          <w:p>
            <w:pPr>
              <w:pStyle w:val="45"/>
              <w:spacing w:line="360" w:lineRule="auto"/>
              <w:ind w:firstLine="480" w:firstLineChars="200"/>
              <w:jc w:val="both"/>
              <w:rPr>
                <w:rFonts w:ascii="Times New Roman" w:cs="Times New Roman"/>
              </w:rPr>
            </w:pPr>
            <w:r>
              <w:rPr>
                <w:rFonts w:ascii="Times New Roman" w:cs="Times New Roman"/>
              </w:rPr>
              <w:t>数字减影血管造影</w:t>
            </w:r>
            <w:r>
              <w:rPr>
                <w:rFonts w:hint="eastAsia" w:ascii="Times New Roman" w:cs="Times New Roman"/>
              </w:rPr>
              <w:t>机</w:t>
            </w:r>
            <w:r>
              <w:rPr>
                <w:rFonts w:ascii="Times New Roman" w:cs="Times New Roman"/>
              </w:rPr>
              <w:t>（DSA）在进行曝光时分DSA诊断和介入治疗两种情况。</w:t>
            </w:r>
          </w:p>
          <w:p>
            <w:pPr>
              <w:pStyle w:val="45"/>
              <w:numPr>
                <w:ilvl w:val="0"/>
                <w:numId w:val="2"/>
              </w:numPr>
              <w:spacing w:line="360" w:lineRule="auto"/>
              <w:ind w:firstLine="480" w:firstLineChars="200"/>
              <w:jc w:val="both"/>
              <w:rPr>
                <w:rFonts w:ascii="Times New Roman" w:cs="Times New Roman"/>
              </w:rPr>
            </w:pPr>
            <w:r>
              <w:rPr>
                <w:rFonts w:ascii="Times New Roman" w:cs="Times New Roman"/>
              </w:rPr>
              <w:t>诊断</w:t>
            </w:r>
          </w:p>
          <w:p>
            <w:pPr>
              <w:pStyle w:val="45"/>
              <w:spacing w:line="360" w:lineRule="auto"/>
              <w:ind w:firstLine="480" w:firstLineChars="200"/>
              <w:jc w:val="both"/>
              <w:rPr>
                <w:rFonts w:ascii="Times New Roman" w:cs="Times New Roman"/>
              </w:rPr>
            </w:pPr>
            <w:r>
              <w:rPr>
                <w:rFonts w:ascii="Times New Roman" w:cs="Times New Roman"/>
              </w:rPr>
              <w:t>DSA诊断采用隔室操作方式，通过控制</w:t>
            </w:r>
            <w:r>
              <w:rPr>
                <w:rFonts w:hint="eastAsia"/>
              </w:rPr>
              <w:t>数字减影血管造影机（DSA）</w:t>
            </w:r>
            <w:r>
              <w:rPr>
                <w:rFonts w:ascii="Times New Roman" w:cs="Times New Roman"/>
              </w:rPr>
              <w:t>的X线系统曝光，采集造影部位图像。具体方式是受检者位于检查床上，医护人员调整X线球管、人体、影像增强器三者之间的距离，然后进入操作间，关好防护门。医师、操作人员通过操作间的电子计算机系统控制</w:t>
            </w:r>
            <w:r>
              <w:rPr>
                <w:rFonts w:hint="eastAsia"/>
              </w:rPr>
              <w:t>数字减影血管造影机（DSA）</w:t>
            </w:r>
            <w:r>
              <w:rPr>
                <w:rFonts w:ascii="Times New Roman" w:cs="Times New Roman"/>
              </w:rPr>
              <w:t>的X系统曝光，采集造影部位图像。医师根据该图像确诊患者病变的范围、程度，选择治疗方案。</w:t>
            </w:r>
          </w:p>
          <w:p>
            <w:pPr>
              <w:pStyle w:val="2"/>
              <w:numPr>
                <w:ilvl w:val="0"/>
                <w:numId w:val="2"/>
              </w:numPr>
              <w:ind w:firstLine="480"/>
              <w:rPr>
                <w:rFonts w:eastAsia="宋体"/>
                <w:color w:val="000000"/>
              </w:rPr>
            </w:pPr>
            <w:r>
              <w:rPr>
                <w:rFonts w:eastAsia="宋体"/>
                <w:color w:val="000000"/>
              </w:rPr>
              <w:t>介入治疗</w:t>
            </w:r>
          </w:p>
          <w:p>
            <w:pPr>
              <w:pStyle w:val="2"/>
              <w:ind w:firstLine="480"/>
              <w:rPr>
                <w:rFonts w:eastAsia="宋体"/>
                <w:color w:val="000000"/>
              </w:rPr>
            </w:pPr>
            <w:r>
              <w:rPr>
                <w:rFonts w:eastAsia="宋体"/>
                <w:color w:val="000000"/>
              </w:rPr>
              <w:t>DSA介入治疗采用近台同室操作方式，通过控制</w:t>
            </w:r>
            <w:r>
              <w:rPr>
                <w:rFonts w:hint="eastAsia"/>
                <w:color w:val="000000"/>
                <w:kern w:val="0"/>
              </w:rPr>
              <w:t>数字减影血管造影机（DSA）</w:t>
            </w:r>
            <w:r>
              <w:rPr>
                <w:rFonts w:eastAsia="宋体"/>
                <w:color w:val="000000"/>
              </w:rPr>
              <w:t>的X线系统曝光，对患者的部位进行间隙式透视。具体方法是受检者位于手术床上，介入手术医师位于手术床旁，距DSA的X线管0.8~1.0m处，在非主射束方向，配备个人防护用品（如铅衣、铅围脖、铅眼镜、铅手套等），同时手术床旁设有屏蔽挂帘和移动式防护帘。介入治疗中，医师、护士佩戴防护用品，医师根据操作需求，踩动手术床下的脚踏开关启动</w:t>
            </w:r>
            <w:r>
              <w:rPr>
                <w:rFonts w:hint="eastAsia"/>
                <w:color w:val="000000"/>
                <w:kern w:val="0"/>
              </w:rPr>
              <w:t>数字减影血管造影机（DSA）</w:t>
            </w:r>
            <w:r>
              <w:rPr>
                <w:rFonts w:eastAsia="宋体"/>
                <w:color w:val="000000"/>
              </w:rPr>
              <w:t>的X线系统进行透视（</w:t>
            </w:r>
            <w:r>
              <w:rPr>
                <w:rFonts w:hint="eastAsia"/>
                <w:color w:val="000000"/>
                <w:kern w:val="0"/>
              </w:rPr>
              <w:t>数字减影血管造影机（DSA）</w:t>
            </w:r>
            <w:r>
              <w:rPr>
                <w:rFonts w:eastAsia="宋体"/>
                <w:color w:val="000000"/>
              </w:rPr>
              <w:t>的X线系统连续发射X射线），通过悬挂显视屏上显示的连续画面，完成介入操作。每台手术</w:t>
            </w:r>
            <w:r>
              <w:rPr>
                <w:rFonts w:hint="eastAsia"/>
                <w:color w:val="000000"/>
                <w:kern w:val="0"/>
              </w:rPr>
              <w:t>数字减影血管造影机（DSA）</w:t>
            </w:r>
            <w:r>
              <w:rPr>
                <w:rFonts w:eastAsia="宋体"/>
                <w:color w:val="000000"/>
              </w:rPr>
              <w:t>系统的X线系统进行透视的次数及每次透视时间因患者的部位、手术的复杂程度而不同。介入手术结束后关机，病人离开介入室。</w:t>
            </w:r>
          </w:p>
          <w:p>
            <w:pPr>
              <w:pStyle w:val="45"/>
              <w:spacing w:line="360" w:lineRule="auto"/>
              <w:ind w:firstLine="482" w:firstLineChars="200"/>
              <w:jc w:val="both"/>
              <w:rPr>
                <w:rFonts w:ascii="Times New Roman" w:cs="Times New Roman"/>
              </w:rPr>
            </w:pPr>
            <w:r>
              <w:rPr>
                <w:rFonts w:ascii="Times New Roman" w:cs="Times New Roman"/>
                <w:b/>
                <w:bCs/>
              </w:rPr>
              <w:t>9.1.</w:t>
            </w:r>
            <w:r>
              <w:rPr>
                <w:rFonts w:hint="eastAsia" w:ascii="Times New Roman" w:cs="Times New Roman"/>
                <w:b/>
                <w:bCs/>
              </w:rPr>
              <w:t>4</w:t>
            </w:r>
            <w:r>
              <w:rPr>
                <w:rFonts w:ascii="Times New Roman" w:cs="Times New Roman"/>
                <w:b/>
                <w:bCs/>
              </w:rPr>
              <w:t xml:space="preserve"> </w:t>
            </w:r>
            <w:r>
              <w:rPr>
                <w:rFonts w:hint="eastAsia" w:ascii="Times New Roman" w:cs="Times New Roman"/>
                <w:b/>
                <w:bCs/>
              </w:rPr>
              <w:t>污染因子</w:t>
            </w:r>
          </w:p>
          <w:p>
            <w:pPr>
              <w:autoSpaceDE w:val="0"/>
              <w:autoSpaceDN w:val="0"/>
              <w:adjustRightInd w:val="0"/>
              <w:spacing w:line="360" w:lineRule="auto"/>
              <w:ind w:firstLine="480" w:firstLineChars="200"/>
              <w:rPr>
                <w:color w:val="000000"/>
              </w:rPr>
            </w:pPr>
            <w:r>
              <w:rPr>
                <w:color w:val="000000"/>
              </w:rPr>
              <w:t>数字减影血管造影设</w:t>
            </w:r>
            <w:r>
              <w:rPr>
                <w:rFonts w:hint="eastAsia"/>
                <w:color w:val="000000"/>
              </w:rPr>
              <w:t>机</w:t>
            </w:r>
            <w:r>
              <w:rPr>
                <w:color w:val="000000"/>
              </w:rPr>
              <w:t>（DSA）在正常曝光期间主要的污染因子为X射线、臭氧、氮氧化物等。由于项目注入的造影剂不含放射性，不会产生放射性废物。射线装置采用先进的数字显影技术，不会产生废显影液、废定影液和废胶片。</w:t>
            </w:r>
          </w:p>
          <w:p>
            <w:pPr>
              <w:autoSpaceDE w:val="0"/>
              <w:autoSpaceDN w:val="0"/>
              <w:adjustRightInd w:val="0"/>
              <w:spacing w:line="360" w:lineRule="auto"/>
              <w:ind w:firstLine="480" w:firstLineChars="200"/>
              <w:rPr>
                <w:color w:val="000000"/>
              </w:rPr>
            </w:pPr>
            <w:r>
              <w:rPr>
                <w:rFonts w:hint="eastAsia"/>
                <w:color w:val="000000"/>
                <w:kern w:val="0"/>
              </w:rPr>
              <w:t>数字减影血管造影机（DSA）</w:t>
            </w:r>
            <w:r>
              <w:rPr>
                <w:color w:val="000000"/>
              </w:rPr>
              <w:t>操作流程</w:t>
            </w:r>
            <w:r>
              <w:rPr>
                <w:rFonts w:hint="eastAsia"/>
                <w:color w:val="000000"/>
              </w:rPr>
              <w:t>以及</w:t>
            </w:r>
            <w:r>
              <w:rPr>
                <w:color w:val="000000"/>
              </w:rPr>
              <w:t>产污环节见图9-</w:t>
            </w:r>
            <w:r>
              <w:rPr>
                <w:rFonts w:hint="eastAsia"/>
                <w:color w:val="000000"/>
              </w:rPr>
              <w:t>3</w:t>
            </w:r>
            <w:r>
              <w:rPr>
                <w:color w:val="000000"/>
              </w:rPr>
              <w:t>。</w:t>
            </w:r>
          </w:p>
          <w:p>
            <w:pPr>
              <w:pStyle w:val="11"/>
              <w:ind w:firstLine="959" w:firstLineChars="533"/>
              <w:jc w:val="center"/>
              <w:rPr>
                <w:color w:val="000000"/>
              </w:rPr>
            </w:pPr>
            <w:r>
              <w:rPr>
                <w:color w:val="000000"/>
              </w:rPr>
              <w:object>
                <v:shape id="_x0000_i1025" o:spt="75" type="#_x0000_t75" style="height:346.45pt;width:307.2pt;" o:ole="t" filled="f" o:preferrelative="t" stroked="f" coordsize="21600,21600">
                  <v:path/>
                  <v:fill on="f" focussize="0,0"/>
                  <v:stroke on="f" joinstyle="miter"/>
                  <v:imagedata r:id="rId20" o:title=""/>
                  <o:lock v:ext="edit" aspectratio="t"/>
                  <w10:wrap type="none"/>
                  <w10:anchorlock/>
                </v:shape>
                <o:OLEObject Type="Embed" ProgID="Visio.Drawing.11" ShapeID="_x0000_i1025" DrawAspect="Content" ObjectID="_1468075725" r:id="rId19">
                  <o:LockedField>false</o:LockedField>
                </o:OLEObject>
              </w:object>
            </w:r>
          </w:p>
          <w:p>
            <w:pPr>
              <w:pStyle w:val="11"/>
              <w:rPr>
                <w:color w:val="000000"/>
              </w:rPr>
            </w:pPr>
          </w:p>
          <w:p>
            <w:pPr>
              <w:pStyle w:val="2"/>
              <w:spacing w:after="105" w:line="240" w:lineRule="auto"/>
              <w:ind w:firstLine="0" w:firstLineChars="0"/>
              <w:jc w:val="center"/>
              <w:rPr>
                <w:rFonts w:eastAsia="黑体"/>
                <w:b/>
                <w:bCs/>
                <w:spacing w:val="-4"/>
              </w:rPr>
            </w:pPr>
            <w:r>
              <w:rPr>
                <w:rFonts w:eastAsia="黑体"/>
                <w:b/>
                <w:bCs/>
                <w:spacing w:val="-4"/>
              </w:rPr>
              <w:t>图9-</w:t>
            </w:r>
            <w:r>
              <w:rPr>
                <w:rFonts w:hint="eastAsia" w:eastAsia="黑体"/>
                <w:b/>
                <w:bCs/>
                <w:spacing w:val="-4"/>
              </w:rPr>
              <w:t>3</w:t>
            </w:r>
            <w:r>
              <w:rPr>
                <w:rFonts w:eastAsia="黑体"/>
                <w:b/>
                <w:bCs/>
                <w:spacing w:val="-4"/>
              </w:rPr>
              <w:t xml:space="preserve">  </w:t>
            </w:r>
            <w:r>
              <w:rPr>
                <w:rFonts w:hint="eastAsia" w:eastAsia="黑体"/>
                <w:b/>
                <w:bCs/>
                <w:spacing w:val="-4"/>
              </w:rPr>
              <w:t>数字减影血管造影机（DSA）</w:t>
            </w:r>
            <w:r>
              <w:rPr>
                <w:rFonts w:eastAsia="黑体"/>
                <w:b/>
                <w:bCs/>
                <w:spacing w:val="-4"/>
              </w:rPr>
              <w:t>操作流程及产污环节示意图</w:t>
            </w:r>
          </w:p>
          <w:p>
            <w:pPr>
              <w:autoSpaceDE w:val="0"/>
              <w:autoSpaceDN w:val="0"/>
              <w:adjustRightInd w:val="0"/>
              <w:spacing w:line="360" w:lineRule="auto"/>
              <w:ind w:firstLine="480" w:firstLineChars="200"/>
              <w:rPr>
                <w:color w:val="000000"/>
                <w:kern w:val="0"/>
              </w:rPr>
            </w:pPr>
            <w:r>
              <w:rPr>
                <w:color w:val="000000"/>
              </w:rPr>
              <w:t>数字减影血管造影</w:t>
            </w:r>
            <w:r>
              <w:rPr>
                <w:rFonts w:hint="eastAsia"/>
                <w:color w:val="000000"/>
              </w:rPr>
              <w:t>机</w:t>
            </w:r>
            <w:r>
              <w:rPr>
                <w:color w:val="000000"/>
              </w:rPr>
              <w:t>（DSA）在正常曝光期间主要的污染因子：X射线、臭</w:t>
            </w:r>
            <w:r>
              <w:rPr>
                <w:color w:val="000000"/>
                <w:kern w:val="0"/>
              </w:rPr>
              <w:t>氧、氮氧化物等。因注入的造影剂不含放射性，不会产生放射性废物。射线装置采用先进的数字显影技术，不会产生废显影液、废定影液和废胶片。</w:t>
            </w:r>
          </w:p>
          <w:p>
            <w:pPr>
              <w:pStyle w:val="2"/>
              <w:ind w:firstLine="0" w:firstLineChars="0"/>
              <w:rPr>
                <w:rFonts w:eastAsia="宋体"/>
                <w:b/>
                <w:bCs/>
                <w:color w:val="000000"/>
                <w:sz w:val="28"/>
                <w:szCs w:val="28"/>
              </w:rPr>
            </w:pPr>
            <w:r>
              <w:rPr>
                <w:rFonts w:eastAsia="宋体"/>
                <w:b/>
                <w:bCs/>
                <w:color w:val="000000"/>
                <w:sz w:val="28"/>
                <w:szCs w:val="28"/>
              </w:rPr>
              <w:t>9.2 污染源项描述</w:t>
            </w:r>
          </w:p>
          <w:p>
            <w:pPr>
              <w:pStyle w:val="2"/>
              <w:ind w:firstLine="482"/>
              <w:rPr>
                <w:rFonts w:eastAsia="宋体"/>
                <w:b/>
                <w:bCs/>
              </w:rPr>
            </w:pPr>
            <w:r>
              <w:rPr>
                <w:rFonts w:eastAsia="宋体"/>
                <w:b/>
                <w:bCs/>
              </w:rPr>
              <w:t>9.2.1 正常工况下污染途径</w:t>
            </w:r>
          </w:p>
          <w:p>
            <w:pPr>
              <w:autoSpaceDE w:val="0"/>
              <w:autoSpaceDN w:val="0"/>
              <w:adjustRightInd w:val="0"/>
              <w:spacing w:line="360" w:lineRule="auto"/>
              <w:ind w:firstLine="480" w:firstLineChars="200"/>
            </w:pPr>
            <w:r>
              <w:t>①</w:t>
            </w:r>
            <w:r>
              <w:rPr>
                <w:rFonts w:hint="eastAsia"/>
              </w:rPr>
              <w:t>数字减影血管造影机（DSA）</w:t>
            </w:r>
            <w:r>
              <w:t>开机时发出X射线，X射线贯穿手术室的屏蔽墙进入外环境，对控制室内职业工作人员及手术室周围公众产生外照射影响；在介入手术过程中，对手术室内医护人员造成较高剂量的外照射。</w:t>
            </w:r>
          </w:p>
          <w:p>
            <w:pPr>
              <w:autoSpaceDE w:val="0"/>
              <w:autoSpaceDN w:val="0"/>
              <w:adjustRightInd w:val="0"/>
              <w:spacing w:line="360" w:lineRule="auto"/>
              <w:ind w:firstLine="480" w:firstLineChars="200"/>
            </w:pPr>
            <w:r>
              <w:t>②X射线与空气作用会产生极少量的臭氧、氮氧化物等有害气体，由于项目射线装置的管电压、管电流较小，产生的有害气体相对较少，通过在手术室内安装动力通风装置，可满足手术室通风换气要求。</w:t>
            </w:r>
          </w:p>
          <w:p>
            <w:pPr>
              <w:autoSpaceDE w:val="0"/>
              <w:autoSpaceDN w:val="0"/>
              <w:adjustRightInd w:val="0"/>
              <w:spacing w:line="360" w:lineRule="auto"/>
              <w:ind w:firstLine="480" w:firstLineChars="200"/>
            </w:pPr>
            <w:r>
              <w:t>③项目注入的造影剂不含放射性，采用先进的数字显影技术，无废显影液和定影液产生。</w:t>
            </w:r>
          </w:p>
          <w:p>
            <w:pPr>
              <w:autoSpaceDE w:val="0"/>
              <w:autoSpaceDN w:val="0"/>
              <w:adjustRightInd w:val="0"/>
              <w:spacing w:line="360" w:lineRule="auto"/>
              <w:ind w:firstLine="480" w:firstLineChars="200"/>
              <w:rPr>
                <w:color w:val="000000"/>
              </w:rPr>
            </w:pPr>
            <w:r>
              <w:rPr>
                <w:color w:val="000000"/>
              </w:rPr>
              <w:t>④项目采用先进的数字显影技术，不会产生废胶片。介入手术时产生的医用器具和药棉、纱布、手套等医疗废物，采用专用容器集中收集，就地打包，经污物通道转运至医疗废物暂存间</w:t>
            </w:r>
            <w:r>
              <w:rPr>
                <w:rFonts w:hint="eastAsia"/>
                <w:color w:val="000000"/>
              </w:rPr>
              <w:t>。医院委托有资质单位（西安卫达实业发展有限公司）对医疗废物暂存间的医疗废物进行集中处理。</w:t>
            </w:r>
          </w:p>
          <w:p>
            <w:pPr>
              <w:pStyle w:val="2"/>
              <w:ind w:firstLine="482"/>
              <w:rPr>
                <w:rFonts w:eastAsia="宋体"/>
              </w:rPr>
            </w:pPr>
            <w:r>
              <w:rPr>
                <w:rFonts w:eastAsia="宋体"/>
                <w:b/>
                <w:bCs/>
              </w:rPr>
              <w:t>9.2.2</w:t>
            </w:r>
            <w:r>
              <w:rPr>
                <w:rFonts w:hint="eastAsia" w:eastAsia="宋体"/>
                <w:b/>
                <w:bCs/>
              </w:rPr>
              <w:t xml:space="preserve"> </w:t>
            </w:r>
            <w:r>
              <w:rPr>
                <w:rFonts w:eastAsia="宋体"/>
                <w:b/>
                <w:bCs/>
              </w:rPr>
              <w:t>事故工况下污染途径</w:t>
            </w:r>
          </w:p>
          <w:p>
            <w:pPr>
              <w:pStyle w:val="2"/>
              <w:ind w:firstLine="480"/>
              <w:rPr>
                <w:rFonts w:eastAsia="宋体"/>
              </w:rPr>
            </w:pPr>
            <w:r>
              <w:rPr>
                <w:rFonts w:eastAsia="宋体"/>
              </w:rPr>
              <w:t>项目</w:t>
            </w:r>
            <w:r>
              <w:rPr>
                <w:rFonts w:hint="eastAsia" w:eastAsia="宋体"/>
              </w:rPr>
              <w:t>使用的</w:t>
            </w:r>
            <w:r>
              <w:rPr>
                <w:rFonts w:eastAsia="宋体"/>
              </w:rPr>
              <w:t>数字减影血管造影</w:t>
            </w:r>
            <w:r>
              <w:rPr>
                <w:rFonts w:hint="eastAsia" w:eastAsia="宋体"/>
              </w:rPr>
              <w:t>机</w:t>
            </w:r>
            <w:r>
              <w:rPr>
                <w:rFonts w:eastAsia="宋体"/>
              </w:rPr>
              <w:t>（DSA）属于Ⅱ类射线装置，运行过程中可能发生的辐射安全事故如下：</w:t>
            </w:r>
          </w:p>
          <w:p>
            <w:pPr>
              <w:autoSpaceDE w:val="0"/>
              <w:autoSpaceDN w:val="0"/>
              <w:adjustRightInd w:val="0"/>
              <w:spacing w:line="360" w:lineRule="auto"/>
              <w:ind w:firstLine="480" w:firstLineChars="200"/>
            </w:pPr>
            <w:r>
              <w:t>①人员在防护门关闭后未撤离</w:t>
            </w:r>
            <w:r>
              <w:rPr>
                <w:rFonts w:hint="eastAsia"/>
              </w:rPr>
              <w:t>DSA手术室</w:t>
            </w:r>
            <w:r>
              <w:t>，射线装置开始运行，对其造成额外照射。</w:t>
            </w:r>
          </w:p>
          <w:p>
            <w:pPr>
              <w:pStyle w:val="2"/>
              <w:ind w:firstLine="480"/>
              <w:rPr>
                <w:rFonts w:eastAsia="宋体"/>
              </w:rPr>
            </w:pPr>
            <w:r>
              <w:t>②</w:t>
            </w:r>
            <w:r>
              <w:rPr>
                <w:rFonts w:eastAsia="宋体"/>
              </w:rPr>
              <w:t>医生在手术室内为患者摆位或进行其它术前准备工作时，控制台处操作人员误开机出束，对手术室内医生造成误照射。</w:t>
            </w:r>
          </w:p>
          <w:p>
            <w:pPr>
              <w:pStyle w:val="2"/>
              <w:ind w:firstLine="480"/>
              <w:rPr>
                <w:rFonts w:eastAsia="宋体"/>
              </w:rPr>
            </w:pPr>
            <w:r>
              <w:rPr>
                <w:rFonts w:eastAsia="宋体"/>
              </w:rPr>
              <w:t>③介入治疗时，医生未穿戴防护用品进入手术室，或未配置合格的防护用品，使医生受到较高剂量的附加照射。</w:t>
            </w:r>
          </w:p>
          <w:p>
            <w:pPr>
              <w:pStyle w:val="2"/>
              <w:ind w:firstLine="480"/>
              <w:rPr>
                <w:rFonts w:eastAsia="宋体"/>
              </w:rPr>
            </w:pPr>
            <w:r>
              <w:rPr>
                <w:rFonts w:eastAsia="宋体"/>
              </w:rPr>
              <w:t>④</w:t>
            </w:r>
            <w:r>
              <w:rPr>
                <w:rFonts w:hint="eastAsia" w:ascii="宋体" w:hAnsi="宋体" w:eastAsia="宋体" w:cs="宋体"/>
              </w:rPr>
              <w:t>安全警示装置发生故障，医护人员误入正在运行的手术室造成额外照射。</w:t>
            </w:r>
          </w:p>
        </w:tc>
      </w:tr>
    </w:tbl>
    <w:p>
      <w:pPr>
        <w:pStyle w:val="3"/>
        <w:rPr>
          <w:color w:val="000000"/>
          <w:sz w:val="28"/>
          <w:szCs w:val="28"/>
        </w:rPr>
      </w:pPr>
      <w:bookmarkStart w:id="23" w:name="_Toc501805942"/>
      <w:bookmarkStart w:id="24" w:name="_Toc25464"/>
      <w:bookmarkStart w:id="25" w:name="_Toc495092673"/>
      <w:r>
        <w:rPr>
          <w:color w:val="000000"/>
          <w:sz w:val="28"/>
          <w:szCs w:val="28"/>
        </w:rPr>
        <w:t>表10 辐射安全与防护</w:t>
      </w:r>
      <w:bookmarkEnd w:id="23"/>
      <w:bookmarkEnd w:id="24"/>
      <w:bookmarkEnd w:id="25"/>
    </w:p>
    <w:tbl>
      <w:tblPr>
        <w:tblStyle w:val="16"/>
        <w:tblW w:w="8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3" w:hRule="atLeast"/>
          <w:jc w:val="center"/>
        </w:trPr>
        <w:tc>
          <w:tcPr>
            <w:tcW w:w="8750" w:type="dxa"/>
            <w:shd w:val="clear" w:color="auto" w:fill="auto"/>
          </w:tcPr>
          <w:p>
            <w:pPr>
              <w:spacing w:line="360" w:lineRule="auto"/>
              <w:rPr>
                <w:b/>
                <w:bCs/>
                <w:color w:val="000000"/>
                <w:sz w:val="28"/>
                <w:szCs w:val="28"/>
              </w:rPr>
            </w:pPr>
            <w:r>
              <w:rPr>
                <w:b/>
                <w:bCs/>
                <w:color w:val="000000"/>
                <w:sz w:val="28"/>
                <w:szCs w:val="28"/>
              </w:rPr>
              <w:t xml:space="preserve">10.1 </w:t>
            </w:r>
            <w:r>
              <w:rPr>
                <w:rFonts w:hint="eastAsia"/>
                <w:b/>
                <w:bCs/>
                <w:color w:val="000000"/>
                <w:sz w:val="28"/>
                <w:szCs w:val="28"/>
              </w:rPr>
              <w:t>辐射工作场所布局</w:t>
            </w:r>
          </w:p>
          <w:p>
            <w:pPr>
              <w:spacing w:line="360" w:lineRule="auto"/>
              <w:ind w:firstLine="480" w:firstLineChars="200"/>
              <w:rPr>
                <w:bCs/>
                <w:color w:val="000000"/>
                <w:kern w:val="24"/>
                <w:szCs w:val="20"/>
              </w:rPr>
            </w:pPr>
            <w:r>
              <w:rPr>
                <w:rFonts w:hint="eastAsia"/>
                <w:bCs/>
                <w:color w:val="000000"/>
                <w:kern w:val="24"/>
                <w:szCs w:val="20"/>
              </w:rPr>
              <w:t>本项目</w:t>
            </w:r>
            <w:r>
              <w:rPr>
                <w:bCs/>
                <w:color w:val="000000"/>
                <w:kern w:val="24"/>
                <w:szCs w:val="20"/>
              </w:rPr>
              <w:t>位于</w:t>
            </w:r>
            <w:r>
              <w:rPr>
                <w:rFonts w:hint="eastAsia"/>
                <w:bCs/>
                <w:color w:val="000000"/>
                <w:kern w:val="24"/>
                <w:szCs w:val="20"/>
              </w:rPr>
              <w:t>通用环球中铁西安医院住院部一层</w:t>
            </w:r>
            <w:r>
              <w:rPr>
                <w:bCs/>
                <w:color w:val="000000"/>
                <w:kern w:val="24"/>
                <w:szCs w:val="20"/>
              </w:rPr>
              <w:t>，</w:t>
            </w:r>
            <w:r>
              <w:rPr>
                <w:rFonts w:hint="eastAsia"/>
                <w:bCs/>
                <w:color w:val="000000"/>
                <w:kern w:val="24"/>
                <w:szCs w:val="20"/>
              </w:rPr>
              <w:t>医院拟对院区内住院部一层西侧部分用房进行改造，并在改造完成后的住院部一层的西侧1间手术室内（原住院部一层门卫处、监控室）安装1台</w:t>
            </w:r>
            <w:r>
              <w:rPr>
                <w:rFonts w:hint="eastAsia"/>
                <w:color w:val="000000"/>
                <w:kern w:val="0"/>
              </w:rPr>
              <w:t>数字减影血管造影机（DSA）</w:t>
            </w:r>
            <w:r>
              <w:rPr>
                <w:bCs/>
                <w:color w:val="000000"/>
                <w:kern w:val="24"/>
                <w:szCs w:val="20"/>
              </w:rPr>
              <w:t>。</w:t>
            </w:r>
            <w:r>
              <w:rPr>
                <w:rFonts w:hint="eastAsia"/>
                <w:bCs/>
                <w:color w:val="000000"/>
                <w:kern w:val="24"/>
                <w:szCs w:val="20"/>
              </w:rPr>
              <w:t>改造完成后，DSA手术室西侧为缓冲间、污物间，东侧为走廊、设备间，北侧为操作间、C</w:t>
            </w:r>
            <w:r>
              <w:rPr>
                <w:bCs/>
                <w:color w:val="000000"/>
                <w:kern w:val="24"/>
                <w:szCs w:val="20"/>
              </w:rPr>
              <w:t>T</w:t>
            </w:r>
            <w:r>
              <w:rPr>
                <w:rFonts w:hint="eastAsia"/>
                <w:bCs/>
                <w:color w:val="000000"/>
                <w:kern w:val="24"/>
                <w:szCs w:val="20"/>
              </w:rPr>
              <w:t>机房，南侧为空地，楼上为西安市儿童医院</w:t>
            </w:r>
            <w:r>
              <w:rPr>
                <w:rFonts w:hint="eastAsia"/>
                <w:bCs/>
                <w:color w:val="000000" w:themeColor="text1"/>
                <w:kern w:val="24"/>
                <w:szCs w:val="20"/>
                <w14:textFill>
                  <w14:solidFill>
                    <w14:schemeClr w14:val="tx1"/>
                  </w14:solidFill>
                </w14:textFill>
              </w:rPr>
              <w:t>医生办公室</w:t>
            </w:r>
            <w:r>
              <w:rPr>
                <w:rFonts w:hint="eastAsia"/>
                <w:bCs/>
                <w:color w:val="000000"/>
                <w:kern w:val="24"/>
                <w:szCs w:val="20"/>
              </w:rPr>
              <w:t>，楼下为配电室（平时无人停留）。</w:t>
            </w:r>
          </w:p>
          <w:p>
            <w:pPr>
              <w:pStyle w:val="2"/>
              <w:ind w:firstLine="480"/>
              <w:rPr>
                <w:rFonts w:ascii="宋体" w:hAnsi="宋体" w:eastAsia="宋体"/>
              </w:rPr>
            </w:pPr>
            <w:r>
              <w:rPr>
                <w:rFonts w:hint="eastAsia" w:ascii="宋体" w:hAnsi="宋体" w:eastAsia="宋体"/>
              </w:rPr>
              <w:t>本项目职业人员、患者、污物流动路径如下：</w:t>
            </w:r>
          </w:p>
          <w:p>
            <w:pPr>
              <w:spacing w:line="360" w:lineRule="auto"/>
              <w:ind w:firstLine="480" w:firstLineChars="200"/>
              <w:rPr>
                <w:bCs/>
                <w:color w:val="000000"/>
                <w:kern w:val="24"/>
                <w:szCs w:val="20"/>
              </w:rPr>
            </w:pPr>
            <w:r>
              <w:rPr>
                <w:rFonts w:hint="eastAsia"/>
                <w:bCs/>
                <w:color w:val="000000"/>
                <w:kern w:val="24"/>
                <w:szCs w:val="20"/>
              </w:rPr>
              <w:t>（1）职业人员流动路线：介入医生与介入护士由DSA手术室西侧走廊进入谈话间，通过谈话间后经换鞋处进入更衣间，更衣后通过谈话间进入D</w:t>
            </w:r>
            <w:r>
              <w:rPr>
                <w:bCs/>
                <w:color w:val="000000"/>
                <w:kern w:val="24"/>
                <w:szCs w:val="20"/>
              </w:rPr>
              <w:t>SA</w:t>
            </w:r>
            <w:r>
              <w:rPr>
                <w:rFonts w:hint="eastAsia"/>
                <w:bCs/>
                <w:color w:val="000000"/>
                <w:kern w:val="24"/>
                <w:szCs w:val="20"/>
              </w:rPr>
              <w:t>操作间，经医护出入防护门进入DSA手术室。控制室技师由DSA手术室西侧走廊进入谈话间，通过谈话间后经换鞋处进入更衣间，更衣后通过谈话间进入DSA操作间；</w:t>
            </w:r>
          </w:p>
          <w:p>
            <w:pPr>
              <w:spacing w:line="360" w:lineRule="auto"/>
              <w:ind w:firstLine="480" w:firstLineChars="200"/>
              <w:rPr>
                <w:bCs/>
                <w:color w:val="000000"/>
                <w:kern w:val="24"/>
                <w:szCs w:val="20"/>
              </w:rPr>
            </w:pPr>
            <w:r>
              <w:rPr>
                <w:rFonts w:hint="eastAsia"/>
                <w:bCs/>
                <w:color w:val="000000"/>
                <w:kern w:val="24"/>
                <w:szCs w:val="20"/>
              </w:rPr>
              <w:t>（2）患者流动路线：患者由D</w:t>
            </w:r>
            <w:r>
              <w:rPr>
                <w:bCs/>
                <w:color w:val="000000"/>
                <w:kern w:val="24"/>
                <w:szCs w:val="20"/>
              </w:rPr>
              <w:t>SA</w:t>
            </w:r>
            <w:r>
              <w:rPr>
                <w:rFonts w:hint="eastAsia"/>
                <w:bCs/>
                <w:color w:val="000000"/>
                <w:kern w:val="24"/>
                <w:szCs w:val="20"/>
              </w:rPr>
              <w:t>手术室西侧走廊进入缓冲间，通过缓冲间后，经患者出入防护门进入DSA手术室；</w:t>
            </w:r>
          </w:p>
          <w:p>
            <w:pPr>
              <w:spacing w:line="360" w:lineRule="auto"/>
              <w:ind w:firstLine="480" w:firstLineChars="200"/>
              <w:rPr>
                <w:bCs/>
                <w:color w:val="000000"/>
                <w:kern w:val="24"/>
                <w:szCs w:val="20"/>
              </w:rPr>
            </w:pPr>
            <w:r>
              <w:rPr>
                <w:rFonts w:hint="eastAsia"/>
                <w:bCs/>
                <w:color w:val="000000"/>
                <w:kern w:val="24"/>
                <w:szCs w:val="20"/>
              </w:rPr>
              <w:t>（3）污物流动路线：在DSA手术室对污物就地打包，由DSA手术室西侧的污物门进入污物间。</w:t>
            </w:r>
          </w:p>
          <w:p>
            <w:pPr>
              <w:spacing w:line="360" w:lineRule="auto"/>
              <w:ind w:firstLine="480" w:firstLineChars="200"/>
              <w:rPr>
                <w:bCs/>
                <w:color w:val="FF0000"/>
                <w:kern w:val="24"/>
                <w:szCs w:val="20"/>
              </w:rPr>
            </w:pPr>
            <w:r>
              <w:rPr>
                <w:rFonts w:hint="eastAsia"/>
                <w:bCs/>
                <w:color w:val="000000"/>
                <w:kern w:val="24"/>
                <w:szCs w:val="20"/>
              </w:rPr>
              <w:t>职业人员</w:t>
            </w:r>
            <w:r>
              <w:rPr>
                <w:bCs/>
                <w:color w:val="000000"/>
                <w:kern w:val="24"/>
                <w:szCs w:val="20"/>
              </w:rPr>
              <w:t>、患者和污物路径</w:t>
            </w:r>
            <w:r>
              <w:rPr>
                <w:rFonts w:hint="eastAsia"/>
                <w:bCs/>
                <w:color w:val="000000"/>
                <w:kern w:val="24"/>
                <w:szCs w:val="20"/>
              </w:rPr>
              <w:t>图</w:t>
            </w:r>
            <w:r>
              <w:rPr>
                <w:bCs/>
                <w:color w:val="000000"/>
                <w:kern w:val="24"/>
                <w:szCs w:val="20"/>
              </w:rPr>
              <w:t>见图10-2。</w:t>
            </w:r>
          </w:p>
          <w:p>
            <w:pPr>
              <w:spacing w:line="360" w:lineRule="auto"/>
              <w:rPr>
                <w:b/>
                <w:bCs/>
                <w:color w:val="000000"/>
                <w:sz w:val="28"/>
                <w:szCs w:val="28"/>
              </w:rPr>
            </w:pPr>
            <w:r>
              <w:rPr>
                <w:b/>
                <w:bCs/>
                <w:color w:val="000000"/>
                <w:sz w:val="28"/>
                <w:szCs w:val="28"/>
              </w:rPr>
              <w:t xml:space="preserve">10.2 </w:t>
            </w:r>
            <w:r>
              <w:rPr>
                <w:rFonts w:hint="eastAsia"/>
                <w:b/>
                <w:bCs/>
                <w:color w:val="000000"/>
                <w:sz w:val="28"/>
                <w:szCs w:val="28"/>
              </w:rPr>
              <w:t>辐射工作场所分区</w:t>
            </w:r>
          </w:p>
          <w:p>
            <w:pPr>
              <w:pStyle w:val="2"/>
              <w:ind w:firstLine="480"/>
              <w:rPr>
                <w:rFonts w:eastAsia="宋体"/>
                <w:color w:val="000000"/>
              </w:rPr>
            </w:pPr>
            <w:r>
              <w:rPr>
                <w:rFonts w:eastAsia="宋体"/>
                <w:color w:val="000000"/>
              </w:rPr>
              <w:t>根据《电离辐射防护与辐射源安全基本标准》（GB18871-2002），辐射工作场所应分为控制区及监督区，以便辐射防护管理和职业照射控制。</w:t>
            </w:r>
          </w:p>
          <w:p>
            <w:pPr>
              <w:pStyle w:val="2"/>
              <w:ind w:firstLine="480"/>
              <w:rPr>
                <w:rFonts w:eastAsia="宋体"/>
                <w:color w:val="000000"/>
              </w:rPr>
            </w:pPr>
            <w:r>
              <w:rPr>
                <w:rFonts w:eastAsia="宋体"/>
                <w:color w:val="000000"/>
              </w:rPr>
              <w:t>控制区：把需要或可能需要专门防护手段或安全措施的区域定为控制区，以便控制正常工作条件下的正常照射或防止污染扩散，并预防潜在照射或限制潜在照射的范围。</w:t>
            </w:r>
          </w:p>
          <w:p>
            <w:pPr>
              <w:pStyle w:val="2"/>
              <w:ind w:firstLine="480"/>
              <w:rPr>
                <w:rFonts w:eastAsia="宋体"/>
                <w:color w:val="000000"/>
              </w:rPr>
            </w:pPr>
            <w:r>
              <w:rPr>
                <w:rFonts w:eastAsia="宋体"/>
                <w:color w:val="000000"/>
              </w:rPr>
              <w:t>监督区：未被定为控制区，在其中通常不需要专门的防护手段或安全措施，但要经常对职业照射条件进行监督和评价。</w:t>
            </w:r>
          </w:p>
          <w:p>
            <w:pPr>
              <w:pStyle w:val="2"/>
              <w:ind w:firstLine="480"/>
              <w:rPr>
                <w:rFonts w:eastAsia="宋体"/>
                <w:color w:val="FF0000"/>
              </w:rPr>
            </w:pPr>
            <w:r>
              <w:rPr>
                <w:rFonts w:eastAsia="宋体"/>
                <w:color w:val="000000"/>
              </w:rPr>
              <w:t>根据项目位置平面布局，将</w:t>
            </w:r>
            <w:r>
              <w:rPr>
                <w:rFonts w:hint="eastAsia" w:eastAsia="宋体"/>
                <w:color w:val="000000"/>
                <w:kern w:val="0"/>
              </w:rPr>
              <w:t>住院部一层的</w:t>
            </w:r>
            <w:r>
              <w:rPr>
                <w:rFonts w:hint="eastAsia" w:eastAsia="宋体"/>
                <w:color w:val="000000"/>
              </w:rPr>
              <w:t>DSA手术室</w:t>
            </w:r>
            <w:r>
              <w:rPr>
                <w:rFonts w:eastAsia="宋体"/>
                <w:color w:val="000000"/>
              </w:rPr>
              <w:t>防护屏蔽体（包括屏蔽墙、屋顶、地板、防护门、防护窗等）以内的区域划分为控制区，</w:t>
            </w:r>
            <w:r>
              <w:rPr>
                <w:rFonts w:hint="eastAsia" w:eastAsia="宋体"/>
                <w:color w:val="000000"/>
              </w:rPr>
              <w:t>将DSA手术室北</w:t>
            </w:r>
            <w:r>
              <w:rPr>
                <w:rFonts w:eastAsia="宋体"/>
                <w:color w:val="000000"/>
              </w:rPr>
              <w:t>侧的</w:t>
            </w:r>
            <w:r>
              <w:rPr>
                <w:rFonts w:hint="eastAsia" w:eastAsia="宋体"/>
                <w:color w:val="000000"/>
              </w:rPr>
              <w:t>操作间、C</w:t>
            </w:r>
            <w:r>
              <w:rPr>
                <w:rFonts w:eastAsia="宋体"/>
                <w:color w:val="000000"/>
              </w:rPr>
              <w:t>T</w:t>
            </w:r>
            <w:r>
              <w:rPr>
                <w:rFonts w:hint="eastAsia" w:eastAsia="宋体"/>
                <w:color w:val="000000"/>
              </w:rPr>
              <w:t>机房，东侧</w:t>
            </w:r>
            <w:r>
              <w:rPr>
                <w:rFonts w:eastAsia="宋体"/>
                <w:color w:val="000000"/>
              </w:rPr>
              <w:t>的走廊</w:t>
            </w:r>
            <w:r>
              <w:rPr>
                <w:rFonts w:hint="eastAsia" w:eastAsia="宋体"/>
                <w:color w:val="000000"/>
              </w:rPr>
              <w:t>、设备间，DSA手术室西侧的缓冲间、污物间，DSA手术室南侧屏蔽墙体外部分空地，</w:t>
            </w:r>
            <w:r>
              <w:rPr>
                <w:rFonts w:eastAsia="宋体"/>
                <w:color w:val="000000"/>
              </w:rPr>
              <w:t>DSA手术室正</w:t>
            </w:r>
            <w:r>
              <w:rPr>
                <w:rFonts w:hint="eastAsia" w:eastAsia="宋体"/>
                <w:color w:val="000000"/>
              </w:rPr>
              <w:t>上</w:t>
            </w:r>
            <w:r>
              <w:rPr>
                <w:rFonts w:eastAsia="宋体"/>
                <w:color w:val="000000"/>
              </w:rPr>
              <w:t>方区域（</w:t>
            </w:r>
            <w:r>
              <w:rPr>
                <w:rFonts w:hint="eastAsia" w:eastAsia="宋体"/>
                <w:color w:val="000000"/>
              </w:rPr>
              <w:t>西安市儿童医院医生办公室</w:t>
            </w:r>
            <w:r>
              <w:rPr>
                <w:rFonts w:eastAsia="宋体"/>
                <w:color w:val="000000"/>
              </w:rPr>
              <w:t>）</w:t>
            </w:r>
            <w:r>
              <w:rPr>
                <w:rFonts w:hint="eastAsia" w:eastAsia="宋体"/>
                <w:color w:val="000000"/>
              </w:rPr>
              <w:t>划分为监督区。DSA手术室正下方区域为医院配电间，平时无人到达故未划作监督区。</w:t>
            </w:r>
          </w:p>
          <w:p>
            <w:pPr>
              <w:spacing w:line="360" w:lineRule="auto"/>
              <w:ind w:firstLine="480" w:firstLineChars="200"/>
              <w:rPr>
                <w:color w:val="FF0000"/>
              </w:rPr>
            </w:pPr>
            <w:r>
              <w:rPr>
                <w:color w:val="000000" w:themeColor="text1"/>
                <w14:textFill>
                  <w14:solidFill>
                    <w14:schemeClr w14:val="tx1"/>
                  </w14:solidFill>
                </w14:textFill>
              </w:rPr>
              <w:drawing>
                <wp:anchor distT="0" distB="0" distL="114300" distR="114300" simplePos="0" relativeHeight="251678720" behindDoc="0" locked="0" layoutInCell="1" allowOverlap="1">
                  <wp:simplePos x="0" y="0"/>
                  <wp:positionH relativeFrom="column">
                    <wp:posOffset>163830</wp:posOffset>
                  </wp:positionH>
                  <wp:positionV relativeFrom="paragraph">
                    <wp:posOffset>306705</wp:posOffset>
                  </wp:positionV>
                  <wp:extent cx="5147945" cy="4317365"/>
                  <wp:effectExtent l="0" t="0" r="0" b="6985"/>
                  <wp:wrapTopAndBottom/>
                  <wp:docPr id="14114750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75058"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47945" cy="4317365"/>
                          </a:xfrm>
                          <a:prstGeom prst="rect">
                            <a:avLst/>
                          </a:prstGeom>
                          <a:noFill/>
                          <a:ln>
                            <a:noFill/>
                          </a:ln>
                        </pic:spPr>
                      </pic:pic>
                    </a:graphicData>
                  </a:graphic>
                </wp:anchor>
              </w:drawing>
            </w:r>
            <w:r>
              <w:rPr>
                <w:rFonts w:hint="eastAsia"/>
                <w:color w:val="000000" w:themeColor="text1"/>
                <w14:textFill>
                  <w14:solidFill>
                    <w14:schemeClr w14:val="tx1"/>
                  </w14:solidFill>
                </w14:textFill>
              </w:rPr>
              <w:t>工作场所分区剖面图见1</w:t>
            </w:r>
            <w:r>
              <w:rPr>
                <w:color w:val="000000" w:themeColor="text1"/>
                <w14:textFill>
                  <w14:solidFill>
                    <w14:schemeClr w14:val="tx1"/>
                  </w14:solidFill>
                </w14:textFill>
              </w:rPr>
              <w:t>0-1</w:t>
            </w:r>
            <w:r>
              <w:rPr>
                <w:rFonts w:hint="eastAsia"/>
                <w:color w:val="000000" w:themeColor="text1"/>
                <w14:textFill>
                  <w14:solidFill>
                    <w14:schemeClr w14:val="tx1"/>
                  </w14:solidFill>
                </w14:textFill>
              </w:rPr>
              <w:t>，</w:t>
            </w:r>
            <w:r>
              <w:t>项目分区管理示意图见图10-2</w:t>
            </w:r>
            <w:r>
              <w:rPr>
                <w:rFonts w:hint="eastAsia"/>
              </w:rPr>
              <w:t>。</w:t>
            </w:r>
          </w:p>
          <w:p>
            <w:pPr>
              <w:widowControl/>
              <w:spacing w:line="360" w:lineRule="auto"/>
              <w:jc w:val="center"/>
              <w:rPr>
                <w:rFonts w:eastAsia="黑体"/>
                <w:color w:val="000000"/>
                <w:szCs w:val="21"/>
              </w:rPr>
            </w:pPr>
            <w:r>
              <w:rPr>
                <w:rFonts w:eastAsia="黑体"/>
                <w:color w:val="000000"/>
                <w:szCs w:val="21"/>
              </w:rPr>
              <w:t>图10-1  工作场所分区</w:t>
            </w:r>
            <w:r>
              <w:rPr>
                <w:rFonts w:hint="eastAsia" w:eastAsia="黑体"/>
                <w:color w:val="000000"/>
                <w:szCs w:val="21"/>
              </w:rPr>
              <w:t>-剖面图</w:t>
            </w:r>
          </w:p>
          <w:p>
            <w:pPr>
              <w:widowControl/>
              <w:spacing w:line="360" w:lineRule="auto"/>
              <w:jc w:val="center"/>
              <w:rPr>
                <w:rFonts w:eastAsia="黑体"/>
                <w:color w:val="000000"/>
                <w:szCs w:val="21"/>
              </w:rPr>
            </w:pPr>
          </w:p>
          <w:p>
            <w:pPr>
              <w:pStyle w:val="2"/>
              <w:ind w:firstLine="480"/>
              <w:rPr>
                <w:rFonts w:eastAsiaTheme="minorEastAsia"/>
              </w:rPr>
            </w:pPr>
          </w:p>
          <w:p>
            <w:pPr>
              <w:pStyle w:val="2"/>
              <w:ind w:firstLine="480"/>
              <w:rPr>
                <w:rFonts w:eastAsiaTheme="minorEastAsia"/>
              </w:rPr>
            </w:pPr>
          </w:p>
        </w:tc>
      </w:tr>
    </w:tbl>
    <w:p>
      <w:pPr>
        <w:rPr>
          <w:color w:val="000000"/>
        </w:rPr>
        <w:sectPr>
          <w:pgSz w:w="11906" w:h="16838"/>
          <w:pgMar w:top="1440" w:right="1440" w:bottom="1440" w:left="1440" w:header="851" w:footer="992" w:gutter="0"/>
          <w:pgBorders>
            <w:top w:val="none" w:sz="0" w:space="0"/>
            <w:left w:val="none" w:sz="0" w:space="0"/>
            <w:bottom w:val="none" w:sz="0" w:space="0"/>
            <w:right w:val="none" w:sz="0" w:space="0"/>
          </w:pgBorders>
          <w:pgNumType w:fmt="numberInDash"/>
          <w:cols w:space="720" w:num="1"/>
          <w:docGrid w:type="lines" w:linePitch="334" w:charSpace="0"/>
        </w:sectPr>
      </w:pPr>
    </w:p>
    <w:p>
      <w:pPr>
        <w:pStyle w:val="2"/>
        <w:ind w:firstLine="0" w:firstLineChars="0"/>
        <w:jc w:val="center"/>
        <w:rPr>
          <w:rFonts w:eastAsia="黑体"/>
          <w:b/>
          <w:bCs/>
          <w:spacing w:val="-4"/>
        </w:rPr>
      </w:pPr>
      <w:bookmarkStart w:id="26" w:name="_Hlk109402862"/>
      <w:r>
        <w:drawing>
          <wp:anchor distT="0" distB="0" distL="114300" distR="114300" simplePos="0" relativeHeight="251671552" behindDoc="0" locked="0" layoutInCell="1" allowOverlap="1">
            <wp:simplePos x="0" y="0"/>
            <wp:positionH relativeFrom="column">
              <wp:posOffset>0</wp:posOffset>
            </wp:positionH>
            <wp:positionV relativeFrom="paragraph">
              <wp:posOffset>208280</wp:posOffset>
            </wp:positionV>
            <wp:extent cx="8863330" cy="3244850"/>
            <wp:effectExtent l="0" t="0" r="0" b="0"/>
            <wp:wrapTopAndBottom/>
            <wp:docPr id="1933974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7479"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863330" cy="3244850"/>
                    </a:xfrm>
                    <a:prstGeom prst="rect">
                      <a:avLst/>
                    </a:prstGeom>
                    <a:noFill/>
                    <a:ln>
                      <a:noFill/>
                    </a:ln>
                  </pic:spPr>
                </pic:pic>
              </a:graphicData>
            </a:graphic>
          </wp:anchor>
        </w:drawing>
      </w:r>
      <w:r>
        <w:rPr>
          <w:rFonts w:eastAsia="黑体"/>
          <w:b/>
          <w:bCs/>
          <w:spacing w:val="-4"/>
        </w:rPr>
        <w:t>图10-</w:t>
      </w:r>
      <w:r>
        <w:rPr>
          <w:rFonts w:hint="eastAsia" w:eastAsia="黑体"/>
          <w:b/>
          <w:bCs/>
          <w:spacing w:val="-4"/>
        </w:rPr>
        <w:t>2</w:t>
      </w:r>
      <w:r>
        <w:rPr>
          <w:rFonts w:eastAsia="黑体"/>
          <w:b/>
          <w:bCs/>
          <w:spacing w:val="-4"/>
        </w:rPr>
        <w:t xml:space="preserve">  </w:t>
      </w:r>
      <w:r>
        <w:rPr>
          <w:rFonts w:hint="eastAsia" w:eastAsia="黑体"/>
          <w:b/>
          <w:bCs/>
          <w:spacing w:val="-4"/>
        </w:rPr>
        <w:t>控制区、监督区划分示意图</w:t>
      </w:r>
    </w:p>
    <w:p>
      <w:pPr>
        <w:pStyle w:val="2"/>
        <w:ind w:firstLine="0" w:firstLineChars="0"/>
        <w:rPr>
          <w:rFonts w:eastAsiaTheme="minorEastAsia"/>
        </w:rPr>
      </w:pPr>
      <w:r>
        <w:drawing>
          <wp:inline distT="0" distB="0" distL="0" distR="0">
            <wp:extent cx="8863330" cy="3870325"/>
            <wp:effectExtent l="0" t="0" r="0" b="0"/>
            <wp:docPr id="517449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4972"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863330" cy="3870325"/>
                    </a:xfrm>
                    <a:prstGeom prst="rect">
                      <a:avLst/>
                    </a:prstGeom>
                    <a:noFill/>
                    <a:ln>
                      <a:noFill/>
                    </a:ln>
                  </pic:spPr>
                </pic:pic>
              </a:graphicData>
            </a:graphic>
          </wp:inline>
        </w:drawing>
      </w:r>
    </w:p>
    <w:bookmarkEnd w:id="26"/>
    <w:p>
      <w:pPr>
        <w:pStyle w:val="2"/>
        <w:ind w:firstLine="0" w:firstLineChars="0"/>
        <w:jc w:val="center"/>
        <w:rPr>
          <w:rFonts w:eastAsia="黑体"/>
          <w:b/>
          <w:bCs/>
          <w:spacing w:val="-4"/>
        </w:rPr>
      </w:pPr>
      <w:r>
        <w:rPr>
          <w:rFonts w:hint="eastAsia" w:eastAsia="黑体"/>
          <w:b/>
          <w:bCs/>
          <w:spacing w:val="-4"/>
        </w:rPr>
        <w:t>图10-</w:t>
      </w:r>
      <w:r>
        <w:rPr>
          <w:rFonts w:eastAsia="黑体"/>
          <w:b/>
          <w:bCs/>
          <w:spacing w:val="-4"/>
        </w:rPr>
        <w:t>3</w:t>
      </w:r>
      <w:r>
        <w:rPr>
          <w:rFonts w:hint="eastAsia" w:eastAsia="黑体"/>
          <w:b/>
          <w:bCs/>
          <w:spacing w:val="-4"/>
        </w:rPr>
        <w:t xml:space="preserve">  职业人员、患者和污物路径图</w:t>
      </w:r>
    </w:p>
    <w:p>
      <w:pPr>
        <w:pStyle w:val="2"/>
        <w:ind w:firstLine="0" w:firstLineChars="0"/>
        <w:jc w:val="center"/>
        <w:rPr>
          <w:rFonts w:eastAsia="黑体"/>
          <w:b/>
          <w:bCs/>
          <w:spacing w:val="-4"/>
        </w:rPr>
        <w:sectPr>
          <w:pgSz w:w="16838" w:h="11906" w:orient="landscape"/>
          <w:pgMar w:top="1440" w:right="1440" w:bottom="1440" w:left="1440" w:header="851" w:footer="992" w:gutter="0"/>
          <w:pgNumType w:fmt="numberInDash"/>
          <w:cols w:space="720" w:num="1"/>
          <w:docGrid w:type="lines" w:linePitch="334" w:charSpace="0"/>
        </w:sectPr>
      </w:pPr>
    </w:p>
    <w:tbl>
      <w:tblPr>
        <w:tblStyle w:val="16"/>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6" w:hRule="atLeast"/>
          <w:jc w:val="center"/>
        </w:trPr>
        <w:tc>
          <w:tcPr>
            <w:tcW w:w="9118" w:type="dxa"/>
          </w:tcPr>
          <w:p>
            <w:pPr>
              <w:autoSpaceDE w:val="0"/>
              <w:autoSpaceDN w:val="0"/>
              <w:adjustRightInd w:val="0"/>
              <w:spacing w:line="360" w:lineRule="auto"/>
              <w:rPr>
                <w:b/>
                <w:color w:val="000000"/>
                <w:kern w:val="0"/>
                <w:sz w:val="28"/>
                <w:szCs w:val="28"/>
              </w:rPr>
            </w:pPr>
            <w:r>
              <w:rPr>
                <w:rFonts w:hint="eastAsia"/>
                <w:b/>
                <w:color w:val="000000"/>
                <w:kern w:val="0"/>
                <w:sz w:val="28"/>
                <w:szCs w:val="28"/>
              </w:rPr>
              <w:t>1</w:t>
            </w:r>
            <w:r>
              <w:rPr>
                <w:b/>
                <w:color w:val="000000"/>
                <w:kern w:val="0"/>
                <w:sz w:val="28"/>
                <w:szCs w:val="28"/>
              </w:rPr>
              <w:t>0.3 辐射屏蔽设计</w:t>
            </w:r>
          </w:p>
          <w:p>
            <w:pPr>
              <w:spacing w:line="360" w:lineRule="auto"/>
              <w:rPr>
                <w:rFonts w:eastAsia="黑体"/>
                <w:b/>
                <w:bCs/>
                <w:sz w:val="22"/>
                <w:szCs w:val="22"/>
              </w:rPr>
            </w:pPr>
            <w:r>
              <w:rPr>
                <w:rFonts w:hint="eastAsia"/>
                <w:color w:val="000000"/>
                <w:szCs w:val="20"/>
              </w:rPr>
              <w:t xml:space="preserve"> </w:t>
            </w:r>
            <w:r>
              <w:rPr>
                <w:color w:val="000000"/>
                <w:szCs w:val="20"/>
              </w:rPr>
              <w:t xml:space="preserve">   </w:t>
            </w:r>
            <w:r>
              <w:rPr>
                <w:rFonts w:hint="eastAsia"/>
                <w:color w:val="000000"/>
                <w:szCs w:val="20"/>
              </w:rPr>
              <w:t>根据建设单位提供的资料，本项目</w:t>
            </w:r>
            <w:r>
              <w:rPr>
                <w:rFonts w:hint="eastAsia"/>
                <w:color w:val="000000"/>
                <w:kern w:val="0"/>
              </w:rPr>
              <w:t>数字减影血管造影机（DSA）</w:t>
            </w:r>
            <w:r>
              <w:rPr>
                <w:rFonts w:hint="eastAsia"/>
                <w:color w:val="000000"/>
                <w:szCs w:val="20"/>
              </w:rPr>
              <w:t>工作场所辐射屏蔽设计具体参数见表10-1</w:t>
            </w:r>
            <w:r>
              <w:rPr>
                <w:rFonts w:eastAsia="黑体"/>
                <w:b/>
                <w:bCs/>
                <w:sz w:val="22"/>
                <w:szCs w:val="22"/>
              </w:rPr>
              <w:t xml:space="preserve"> </w:t>
            </w:r>
          </w:p>
          <w:p>
            <w:pPr>
              <w:spacing w:line="360" w:lineRule="auto"/>
              <w:jc w:val="center"/>
              <w:rPr>
                <w:rFonts w:ascii="宋体" w:hAnsi="宋体"/>
                <w:b/>
                <w:bCs/>
                <w:sz w:val="21"/>
                <w:szCs w:val="21"/>
              </w:rPr>
            </w:pPr>
            <w:r>
              <w:rPr>
                <w:rFonts w:ascii="宋体" w:hAnsi="宋体"/>
                <w:b/>
                <w:bCs/>
                <w:sz w:val="21"/>
                <w:szCs w:val="21"/>
              </w:rPr>
              <w:t>表 10-1</w:t>
            </w:r>
            <w:r>
              <w:rPr>
                <w:rFonts w:hint="eastAsia" w:ascii="宋体" w:hAnsi="宋体"/>
                <w:b/>
                <w:bCs/>
                <w:sz w:val="21"/>
                <w:szCs w:val="21"/>
              </w:rPr>
              <w:t xml:space="preserve">  </w:t>
            </w:r>
            <w:r>
              <w:rPr>
                <w:rFonts w:ascii="宋体" w:hAnsi="宋体"/>
                <w:b/>
                <w:bCs/>
                <w:sz w:val="21"/>
                <w:szCs w:val="21"/>
              </w:rPr>
              <w:t>项目DSA手术室辐射防护屏蔽</w:t>
            </w:r>
            <w:r>
              <w:rPr>
                <w:rFonts w:hint="eastAsia" w:ascii="宋体" w:hAnsi="宋体"/>
                <w:b/>
                <w:bCs/>
                <w:sz w:val="21"/>
                <w:szCs w:val="21"/>
              </w:rPr>
              <w:t>措施</w:t>
            </w:r>
            <w:r>
              <w:rPr>
                <w:rFonts w:ascii="宋体" w:hAnsi="宋体"/>
                <w:b/>
                <w:bCs/>
                <w:sz w:val="21"/>
                <w:szCs w:val="21"/>
              </w:rPr>
              <w:t>一览表</w:t>
            </w:r>
          </w:p>
          <w:tbl>
            <w:tblPr>
              <w:tblStyle w:val="16"/>
              <w:tblW w:w="8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4"/>
              <w:gridCol w:w="2126"/>
              <w:gridCol w:w="2552"/>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914" w:type="dxa"/>
                  <w:tcBorders>
                    <w:top w:val="single" w:color="auto" w:sz="12" w:space="0"/>
                    <w:left w:val="nil"/>
                    <w:bottom w:val="single" w:color="auto" w:sz="12" w:space="0"/>
                    <w:right w:val="single" w:color="auto" w:sz="4" w:space="0"/>
                  </w:tcBorders>
                  <w:vAlign w:val="center"/>
                </w:tcPr>
                <w:p>
                  <w:pPr>
                    <w:jc w:val="center"/>
                    <w:rPr>
                      <w:b/>
                      <w:bCs/>
                      <w:color w:val="000000"/>
                      <w:sz w:val="21"/>
                      <w:szCs w:val="21"/>
                    </w:rPr>
                  </w:pPr>
                  <w:r>
                    <w:rPr>
                      <w:rFonts w:hint="eastAsia"/>
                      <w:b/>
                      <w:bCs/>
                      <w:color w:val="000000"/>
                      <w:sz w:val="21"/>
                      <w:szCs w:val="21"/>
                    </w:rPr>
                    <w:t>手术室</w:t>
                  </w:r>
                  <w:r>
                    <w:rPr>
                      <w:b/>
                      <w:bCs/>
                      <w:color w:val="000000"/>
                      <w:sz w:val="21"/>
                      <w:szCs w:val="21"/>
                    </w:rPr>
                    <w:t>面积（长×宽）</w:t>
                  </w:r>
                </w:p>
              </w:tc>
              <w:tc>
                <w:tcPr>
                  <w:tcW w:w="2126" w:type="dxa"/>
                  <w:tcBorders>
                    <w:top w:val="single" w:color="auto" w:sz="12" w:space="0"/>
                    <w:left w:val="single" w:color="auto" w:sz="4" w:space="0"/>
                    <w:bottom w:val="single" w:color="auto" w:sz="12" w:space="0"/>
                    <w:right w:val="single" w:color="auto" w:sz="4" w:space="0"/>
                  </w:tcBorders>
                  <w:vAlign w:val="center"/>
                </w:tcPr>
                <w:p>
                  <w:pPr>
                    <w:jc w:val="center"/>
                    <w:rPr>
                      <w:b/>
                      <w:bCs/>
                      <w:color w:val="000000"/>
                      <w:sz w:val="21"/>
                      <w:szCs w:val="21"/>
                    </w:rPr>
                  </w:pPr>
                  <w:r>
                    <w:rPr>
                      <w:b/>
                      <w:bCs/>
                      <w:color w:val="000000"/>
                      <w:sz w:val="21"/>
                      <w:szCs w:val="21"/>
                    </w:rPr>
                    <w:t>防护</w:t>
                  </w:r>
                  <w:r>
                    <w:rPr>
                      <w:rFonts w:hint="eastAsia"/>
                      <w:b/>
                      <w:bCs/>
                      <w:color w:val="000000"/>
                      <w:sz w:val="21"/>
                      <w:szCs w:val="21"/>
                    </w:rPr>
                    <w:t>位置</w:t>
                  </w:r>
                </w:p>
              </w:tc>
              <w:tc>
                <w:tcPr>
                  <w:tcW w:w="2552" w:type="dxa"/>
                  <w:tcBorders>
                    <w:top w:val="single" w:color="auto" w:sz="12" w:space="0"/>
                    <w:left w:val="single" w:color="auto" w:sz="4" w:space="0"/>
                    <w:bottom w:val="single" w:color="auto" w:sz="12" w:space="0"/>
                    <w:right w:val="single" w:color="auto" w:sz="4" w:space="0"/>
                  </w:tcBorders>
                  <w:vAlign w:val="center"/>
                </w:tcPr>
                <w:p>
                  <w:pPr>
                    <w:jc w:val="center"/>
                    <w:rPr>
                      <w:b/>
                      <w:bCs/>
                      <w:color w:val="000000"/>
                      <w:sz w:val="21"/>
                      <w:szCs w:val="21"/>
                    </w:rPr>
                  </w:pPr>
                  <w:r>
                    <w:rPr>
                      <w:rFonts w:hint="eastAsia"/>
                      <w:b/>
                      <w:bCs/>
                      <w:color w:val="000000"/>
                      <w:sz w:val="21"/>
                      <w:szCs w:val="21"/>
                    </w:rPr>
                    <w:t>辐射</w:t>
                  </w:r>
                  <w:r>
                    <w:rPr>
                      <w:b/>
                      <w:bCs/>
                      <w:color w:val="000000"/>
                      <w:sz w:val="21"/>
                      <w:szCs w:val="21"/>
                    </w:rPr>
                    <w:t>屏蔽措施</w:t>
                  </w:r>
                </w:p>
              </w:tc>
              <w:tc>
                <w:tcPr>
                  <w:tcW w:w="1391" w:type="dxa"/>
                  <w:tcBorders>
                    <w:top w:val="single" w:color="auto" w:sz="12" w:space="0"/>
                    <w:left w:val="single" w:color="auto" w:sz="4" w:space="0"/>
                    <w:bottom w:val="single" w:color="auto" w:sz="12" w:space="0"/>
                    <w:right w:val="nil"/>
                  </w:tcBorders>
                  <w:vAlign w:val="center"/>
                </w:tcPr>
                <w:p>
                  <w:pPr>
                    <w:jc w:val="center"/>
                    <w:rPr>
                      <w:b/>
                      <w:bCs/>
                      <w:color w:val="000000"/>
                      <w:sz w:val="21"/>
                      <w:szCs w:val="21"/>
                    </w:rPr>
                  </w:pPr>
                  <w:r>
                    <w:rPr>
                      <w:b/>
                      <w:bCs/>
                      <w:color w:val="000000"/>
                      <w:sz w:val="21"/>
                      <w:szCs w:val="21"/>
                    </w:rPr>
                    <w:t>铅当量(mm)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914" w:type="dxa"/>
                  <w:vMerge w:val="restart"/>
                  <w:tcBorders>
                    <w:top w:val="single" w:color="auto" w:sz="12" w:space="0"/>
                    <w:left w:val="nil"/>
                    <w:right w:val="single" w:color="auto" w:sz="4" w:space="0"/>
                  </w:tcBorders>
                  <w:vAlign w:val="center"/>
                </w:tcPr>
                <w:p>
                  <w:pPr>
                    <w:spacing w:after="120"/>
                    <w:jc w:val="center"/>
                    <w:rPr>
                      <w:color w:val="000000"/>
                      <w:sz w:val="21"/>
                      <w:szCs w:val="21"/>
                    </w:rPr>
                  </w:pPr>
                  <w:r>
                    <w:rPr>
                      <w:color w:val="000000" w:themeColor="text1"/>
                      <w:sz w:val="21"/>
                      <w:szCs w:val="21"/>
                      <w14:textFill>
                        <w14:solidFill>
                          <w14:schemeClr w14:val="tx1"/>
                        </w14:solidFill>
                      </w14:textFill>
                    </w:rPr>
                    <w:t>39.71m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(长7.30m×宽5.44m)</w:t>
                  </w:r>
                </w:p>
              </w:tc>
              <w:tc>
                <w:tcPr>
                  <w:tcW w:w="2126" w:type="dxa"/>
                  <w:tcBorders>
                    <w:top w:val="single" w:color="auto" w:sz="12"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olor w:val="000000"/>
                      <w:sz w:val="21"/>
                      <w:szCs w:val="21"/>
                      <w:lang w:val="en-GB"/>
                    </w:rPr>
                    <w:t>东、北侧</w:t>
                  </w:r>
                  <w:r>
                    <w:rPr>
                      <w:color w:val="000000"/>
                      <w:sz w:val="21"/>
                      <w:szCs w:val="21"/>
                      <w:lang w:val="en-GB"/>
                    </w:rPr>
                    <w:t>墙体</w:t>
                  </w:r>
                </w:p>
              </w:tc>
              <w:tc>
                <w:tcPr>
                  <w:tcW w:w="2552"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000000"/>
                      <w:sz w:val="21"/>
                      <w:szCs w:val="21"/>
                      <w:lang w:val="en-GB"/>
                    </w:rPr>
                  </w:pPr>
                  <w:r>
                    <w:rPr>
                      <w:rFonts w:hint="eastAsia"/>
                      <w:color w:val="000000"/>
                      <w:sz w:val="21"/>
                      <w:szCs w:val="21"/>
                    </w:rPr>
                    <w:t>240mm混凝土墙+2mmPb当量铅板</w:t>
                  </w:r>
                </w:p>
              </w:tc>
              <w:tc>
                <w:tcPr>
                  <w:tcW w:w="1391" w:type="dxa"/>
                  <w:tcBorders>
                    <w:top w:val="single" w:color="auto" w:sz="12" w:space="0"/>
                    <w:left w:val="single" w:color="auto" w:sz="4" w:space="0"/>
                    <w:bottom w:val="single" w:color="auto" w:sz="4" w:space="0"/>
                    <w:right w:val="nil"/>
                  </w:tcBorders>
                  <w:vAlign w:val="center"/>
                </w:tcPr>
                <w:p>
                  <w:pPr>
                    <w:jc w:val="center"/>
                    <w:rPr>
                      <w:color w:val="000000"/>
                      <w:sz w:val="21"/>
                      <w:szCs w:val="21"/>
                    </w:rPr>
                  </w:pPr>
                  <w:r>
                    <w:rPr>
                      <w:color w:val="000000"/>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914" w:type="dxa"/>
                  <w:vMerge w:val="continue"/>
                  <w:tcBorders>
                    <w:left w:val="nil"/>
                    <w:right w:val="single" w:color="auto" w:sz="4" w:space="0"/>
                  </w:tcBorders>
                  <w:vAlign w:val="center"/>
                </w:tcPr>
                <w:p>
                  <w:pPr>
                    <w:spacing w:line="480" w:lineRule="auto"/>
                    <w:jc w:val="center"/>
                    <w:rPr>
                      <w:color w:val="000000"/>
                      <w:sz w:val="21"/>
                      <w:szCs w:val="21"/>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olor w:val="000000"/>
                      <w:sz w:val="21"/>
                      <w:szCs w:val="21"/>
                    </w:rPr>
                    <w:t>南侧墙体</w:t>
                  </w:r>
                </w:p>
              </w:tc>
              <w:tc>
                <w:tcPr>
                  <w:tcW w:w="2552"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olor w:val="000000"/>
                      <w:sz w:val="21"/>
                      <w:szCs w:val="21"/>
                    </w:rPr>
                    <w:t>240mm实心砖墙+2mmPb当量铅板</w:t>
                  </w:r>
                </w:p>
              </w:tc>
              <w:tc>
                <w:tcPr>
                  <w:tcW w:w="1391" w:type="dxa"/>
                  <w:tcBorders>
                    <w:top w:val="single" w:color="auto" w:sz="4" w:space="0"/>
                    <w:left w:val="single" w:color="auto" w:sz="4" w:space="0"/>
                    <w:bottom w:val="single" w:color="auto" w:sz="4" w:space="0"/>
                    <w:right w:val="nil"/>
                  </w:tcBorders>
                  <w:vAlign w:val="center"/>
                </w:tcPr>
                <w:p>
                  <w:pPr>
                    <w:jc w:val="center"/>
                    <w:rPr>
                      <w:color w:val="000000"/>
                      <w:sz w:val="21"/>
                      <w:szCs w:val="21"/>
                    </w:rPr>
                  </w:pPr>
                  <w:r>
                    <w:rPr>
                      <w:rFonts w:hint="eastAsia"/>
                      <w:color w:val="000000"/>
                      <w:sz w:val="21"/>
                      <w:szCs w:val="21"/>
                    </w:rPr>
                    <w:t>4</w:t>
                  </w:r>
                  <w:r>
                    <w:rPr>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914" w:type="dxa"/>
                  <w:vMerge w:val="continue"/>
                  <w:tcBorders>
                    <w:left w:val="nil"/>
                    <w:right w:val="single" w:color="auto" w:sz="4" w:space="0"/>
                  </w:tcBorders>
                  <w:vAlign w:val="center"/>
                </w:tcPr>
                <w:p>
                  <w:pPr>
                    <w:spacing w:line="480" w:lineRule="auto"/>
                    <w:jc w:val="center"/>
                    <w:rPr>
                      <w:color w:val="000000"/>
                      <w:sz w:val="21"/>
                      <w:szCs w:val="21"/>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olor w:val="000000"/>
                      <w:sz w:val="21"/>
                      <w:szCs w:val="21"/>
                    </w:rPr>
                    <w:t>西侧墙体</w:t>
                  </w:r>
                </w:p>
              </w:tc>
              <w:tc>
                <w:tcPr>
                  <w:tcW w:w="2552"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olor w:val="000000"/>
                      <w:sz w:val="21"/>
                      <w:szCs w:val="21"/>
                    </w:rPr>
                    <w:t>120mm实心砖墙+2mmPb当量铅板+2mmPb当量硫酸钡水泥</w:t>
                  </w:r>
                </w:p>
              </w:tc>
              <w:tc>
                <w:tcPr>
                  <w:tcW w:w="1391" w:type="dxa"/>
                  <w:tcBorders>
                    <w:top w:val="single" w:color="auto" w:sz="4" w:space="0"/>
                    <w:left w:val="single" w:color="auto" w:sz="4" w:space="0"/>
                    <w:bottom w:val="single" w:color="auto" w:sz="4" w:space="0"/>
                    <w:right w:val="nil"/>
                  </w:tcBorders>
                  <w:vAlign w:val="center"/>
                </w:tcPr>
                <w:p>
                  <w:pPr>
                    <w:jc w:val="center"/>
                    <w:rPr>
                      <w:color w:val="000000"/>
                      <w:sz w:val="21"/>
                      <w:szCs w:val="21"/>
                    </w:rPr>
                  </w:pPr>
                  <w:r>
                    <w:rPr>
                      <w:rFonts w:hint="eastAsia"/>
                      <w:color w:val="000000"/>
                      <w:sz w:val="21"/>
                      <w:szCs w:val="21"/>
                    </w:rPr>
                    <w:t>4</w:t>
                  </w:r>
                  <w:r>
                    <w:rPr>
                      <w:color w:val="00000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914" w:type="dxa"/>
                  <w:vMerge w:val="continue"/>
                  <w:tcBorders>
                    <w:left w:val="nil"/>
                    <w:right w:val="single" w:color="auto" w:sz="4" w:space="0"/>
                  </w:tcBorders>
                  <w:vAlign w:val="center"/>
                </w:tcPr>
                <w:p>
                  <w:pPr>
                    <w:spacing w:line="480" w:lineRule="auto"/>
                    <w:jc w:val="center"/>
                    <w:rPr>
                      <w:color w:val="000000"/>
                      <w:sz w:val="21"/>
                      <w:szCs w:val="21"/>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color w:val="000000"/>
                      <w:sz w:val="21"/>
                      <w:szCs w:val="21"/>
                    </w:rPr>
                    <w:t>观察窗</w:t>
                  </w:r>
                </w:p>
              </w:tc>
              <w:tc>
                <w:tcPr>
                  <w:tcW w:w="2552"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color w:val="000000"/>
                      <w:sz w:val="21"/>
                      <w:szCs w:val="21"/>
                    </w:rPr>
                    <w:t>3mmPb</w:t>
                  </w:r>
                  <w:r>
                    <w:rPr>
                      <w:sz w:val="21"/>
                    </w:rPr>
                    <w:t>当量铅玻璃</w:t>
                  </w:r>
                </w:p>
              </w:tc>
              <w:tc>
                <w:tcPr>
                  <w:tcW w:w="1391" w:type="dxa"/>
                  <w:tcBorders>
                    <w:top w:val="single" w:color="auto" w:sz="4" w:space="0"/>
                    <w:left w:val="single" w:color="auto" w:sz="4" w:space="0"/>
                    <w:bottom w:val="single" w:color="auto" w:sz="4" w:space="0"/>
                    <w:right w:val="nil"/>
                  </w:tcBorders>
                  <w:vAlign w:val="center"/>
                </w:tcPr>
                <w:p>
                  <w:pPr>
                    <w:jc w:val="center"/>
                    <w:rPr>
                      <w:color w:val="000000"/>
                      <w:sz w:val="21"/>
                      <w:szCs w:val="21"/>
                    </w:rPr>
                  </w:pPr>
                  <w:r>
                    <w:rPr>
                      <w:rFonts w:hint="eastAsia"/>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914" w:type="dxa"/>
                  <w:vMerge w:val="continue"/>
                  <w:tcBorders>
                    <w:left w:val="nil"/>
                    <w:right w:val="single" w:color="auto" w:sz="4" w:space="0"/>
                  </w:tcBorders>
                  <w:vAlign w:val="center"/>
                </w:tcPr>
                <w:p>
                  <w:pPr>
                    <w:spacing w:line="480" w:lineRule="auto"/>
                    <w:jc w:val="center"/>
                    <w:rPr>
                      <w:color w:val="000000"/>
                      <w:sz w:val="21"/>
                      <w:szCs w:val="21"/>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color w:val="000000"/>
                      <w:sz w:val="21"/>
                      <w:szCs w:val="21"/>
                    </w:rPr>
                    <w:t>污物</w:t>
                  </w:r>
                  <w:r>
                    <w:rPr>
                      <w:rFonts w:hint="eastAsia"/>
                      <w:color w:val="000000"/>
                      <w:sz w:val="21"/>
                      <w:szCs w:val="21"/>
                    </w:rPr>
                    <w:t>防护</w:t>
                  </w:r>
                  <w:r>
                    <w:rPr>
                      <w:color w:val="000000"/>
                      <w:sz w:val="21"/>
                      <w:szCs w:val="21"/>
                    </w:rPr>
                    <w:t>门</w:t>
                  </w:r>
                </w:p>
              </w:tc>
              <w:tc>
                <w:tcPr>
                  <w:tcW w:w="2552"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olor w:val="000000" w:themeColor="text1"/>
                      <w:sz w:val="21"/>
                      <w14:textFill>
                        <w14:solidFill>
                          <w14:schemeClr w14:val="tx1"/>
                        </w14:solidFill>
                      </w14:textFill>
                    </w:rPr>
                    <w:t>3mmPb当量手动平开门</w:t>
                  </w:r>
                </w:p>
              </w:tc>
              <w:tc>
                <w:tcPr>
                  <w:tcW w:w="1391" w:type="dxa"/>
                  <w:tcBorders>
                    <w:top w:val="single" w:color="auto" w:sz="4" w:space="0"/>
                    <w:left w:val="single" w:color="auto" w:sz="4" w:space="0"/>
                    <w:bottom w:val="single" w:color="auto" w:sz="4" w:space="0"/>
                    <w:right w:val="nil"/>
                  </w:tcBorders>
                  <w:vAlign w:val="center"/>
                </w:tcPr>
                <w:p>
                  <w:pPr>
                    <w:jc w:val="center"/>
                    <w:rPr>
                      <w:color w:val="000000"/>
                      <w:sz w:val="21"/>
                      <w:szCs w:val="21"/>
                    </w:rPr>
                  </w:pPr>
                  <w:r>
                    <w:rPr>
                      <w:rFonts w:hint="eastAsia"/>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914" w:type="dxa"/>
                  <w:vMerge w:val="continue"/>
                  <w:tcBorders>
                    <w:left w:val="nil"/>
                    <w:right w:val="single" w:color="auto" w:sz="4" w:space="0"/>
                  </w:tcBorders>
                  <w:vAlign w:val="center"/>
                </w:tcPr>
                <w:p>
                  <w:pPr>
                    <w:spacing w:line="480" w:lineRule="auto"/>
                    <w:jc w:val="center"/>
                    <w:rPr>
                      <w:color w:val="000000"/>
                      <w:sz w:val="21"/>
                      <w:szCs w:val="21"/>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olor w:val="000000"/>
                      <w:sz w:val="21"/>
                      <w:szCs w:val="21"/>
                    </w:rPr>
                    <w:t>患者</w:t>
                  </w:r>
                  <w:r>
                    <w:rPr>
                      <w:color w:val="000000"/>
                      <w:sz w:val="21"/>
                      <w:szCs w:val="21"/>
                    </w:rPr>
                    <w:t>出入防护门</w:t>
                  </w:r>
                </w:p>
              </w:tc>
              <w:tc>
                <w:tcPr>
                  <w:tcW w:w="2552"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olor w:val="000000"/>
                      <w:sz w:val="21"/>
                      <w:szCs w:val="21"/>
                    </w:rPr>
                    <w:t>3mmPb当量电动推拉门</w:t>
                  </w:r>
                </w:p>
              </w:tc>
              <w:tc>
                <w:tcPr>
                  <w:tcW w:w="1391" w:type="dxa"/>
                  <w:tcBorders>
                    <w:top w:val="single" w:color="auto" w:sz="4" w:space="0"/>
                    <w:left w:val="single" w:color="auto" w:sz="4" w:space="0"/>
                    <w:bottom w:val="single" w:color="auto" w:sz="4" w:space="0"/>
                    <w:right w:val="nil"/>
                  </w:tcBorders>
                  <w:vAlign w:val="center"/>
                </w:tcPr>
                <w:p>
                  <w:pPr>
                    <w:jc w:val="center"/>
                    <w:rPr>
                      <w:color w:val="000000"/>
                      <w:sz w:val="21"/>
                      <w:szCs w:val="21"/>
                    </w:rPr>
                  </w:pPr>
                  <w:r>
                    <w:rPr>
                      <w:rFonts w:hint="eastAsia"/>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914" w:type="dxa"/>
                  <w:vMerge w:val="continue"/>
                  <w:tcBorders>
                    <w:left w:val="nil"/>
                    <w:right w:val="single" w:color="auto" w:sz="4" w:space="0"/>
                  </w:tcBorders>
                  <w:vAlign w:val="center"/>
                </w:tcPr>
                <w:p>
                  <w:pPr>
                    <w:spacing w:line="480" w:lineRule="auto"/>
                    <w:jc w:val="center"/>
                    <w:rPr>
                      <w:color w:val="000000"/>
                      <w:sz w:val="21"/>
                      <w:szCs w:val="21"/>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olor w:val="000000"/>
                      <w:sz w:val="21"/>
                      <w:szCs w:val="21"/>
                    </w:rPr>
                    <w:t>医护出入防护门</w:t>
                  </w:r>
                </w:p>
              </w:tc>
              <w:tc>
                <w:tcPr>
                  <w:tcW w:w="2552"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olor w:val="000000"/>
                      <w:sz w:val="21"/>
                      <w:szCs w:val="21"/>
                    </w:rPr>
                    <w:t>3mmPb当量脚踏式电动铅门</w:t>
                  </w:r>
                </w:p>
              </w:tc>
              <w:tc>
                <w:tcPr>
                  <w:tcW w:w="1391" w:type="dxa"/>
                  <w:tcBorders>
                    <w:top w:val="single" w:color="auto" w:sz="4" w:space="0"/>
                    <w:left w:val="single" w:color="auto" w:sz="4" w:space="0"/>
                    <w:bottom w:val="single" w:color="auto" w:sz="4" w:space="0"/>
                    <w:right w:val="nil"/>
                  </w:tcBorders>
                  <w:vAlign w:val="center"/>
                </w:tcPr>
                <w:p>
                  <w:pPr>
                    <w:jc w:val="center"/>
                    <w:rPr>
                      <w:color w:val="000000"/>
                      <w:sz w:val="21"/>
                      <w:szCs w:val="21"/>
                    </w:rPr>
                  </w:pPr>
                  <w:r>
                    <w:rPr>
                      <w:rFonts w:hint="eastAsia"/>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914" w:type="dxa"/>
                  <w:vMerge w:val="continue"/>
                  <w:tcBorders>
                    <w:left w:val="nil"/>
                    <w:right w:val="single" w:color="auto" w:sz="4" w:space="0"/>
                  </w:tcBorders>
                  <w:vAlign w:val="center"/>
                </w:tcPr>
                <w:p>
                  <w:pPr>
                    <w:spacing w:line="480" w:lineRule="auto"/>
                    <w:jc w:val="center"/>
                    <w:rPr>
                      <w:color w:val="000000"/>
                      <w:sz w:val="21"/>
                      <w:szCs w:val="21"/>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olor w:val="000000"/>
                      <w:sz w:val="21"/>
                      <w:szCs w:val="21"/>
                    </w:rPr>
                    <w:t>应急通道门</w:t>
                  </w:r>
                </w:p>
              </w:tc>
              <w:tc>
                <w:tcPr>
                  <w:tcW w:w="2552"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olor w:val="000000"/>
                      <w:sz w:val="21"/>
                      <w:szCs w:val="21"/>
                    </w:rPr>
                    <w:t>3mmPb当量手动平开门</w:t>
                  </w:r>
                </w:p>
              </w:tc>
              <w:tc>
                <w:tcPr>
                  <w:tcW w:w="1391" w:type="dxa"/>
                  <w:tcBorders>
                    <w:top w:val="single" w:color="auto" w:sz="4" w:space="0"/>
                    <w:left w:val="single" w:color="auto" w:sz="4" w:space="0"/>
                    <w:bottom w:val="single" w:color="auto" w:sz="4" w:space="0"/>
                    <w:right w:val="nil"/>
                  </w:tcBorders>
                  <w:vAlign w:val="center"/>
                </w:tcPr>
                <w:p>
                  <w:pPr>
                    <w:jc w:val="center"/>
                    <w:rPr>
                      <w:color w:val="000000"/>
                      <w:sz w:val="21"/>
                      <w:szCs w:val="21"/>
                    </w:rPr>
                  </w:pPr>
                  <w:r>
                    <w:rPr>
                      <w:rFonts w:hint="eastAsia"/>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914" w:type="dxa"/>
                  <w:vMerge w:val="continue"/>
                  <w:tcBorders>
                    <w:left w:val="nil"/>
                    <w:right w:val="single" w:color="auto" w:sz="4" w:space="0"/>
                  </w:tcBorders>
                  <w:vAlign w:val="center"/>
                </w:tcPr>
                <w:p>
                  <w:pPr>
                    <w:spacing w:line="480" w:lineRule="auto"/>
                    <w:jc w:val="center"/>
                    <w:rPr>
                      <w:color w:val="000000"/>
                      <w:sz w:val="21"/>
                      <w:szCs w:val="21"/>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color w:val="000000"/>
                      <w:sz w:val="21"/>
                      <w:szCs w:val="21"/>
                    </w:rPr>
                    <w:t>顶棚</w:t>
                  </w:r>
                </w:p>
              </w:tc>
              <w:tc>
                <w:tcPr>
                  <w:tcW w:w="2552"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olor w:val="000000"/>
                      <w:sz w:val="21"/>
                      <w:szCs w:val="21"/>
                    </w:rPr>
                    <w:t>120mm混凝土+2mmPb当量铅板</w:t>
                  </w:r>
                </w:p>
              </w:tc>
              <w:tc>
                <w:tcPr>
                  <w:tcW w:w="1391" w:type="dxa"/>
                  <w:tcBorders>
                    <w:top w:val="single" w:color="auto" w:sz="4" w:space="0"/>
                    <w:left w:val="single" w:color="auto" w:sz="4" w:space="0"/>
                    <w:bottom w:val="single" w:color="auto" w:sz="4" w:space="0"/>
                    <w:right w:val="nil"/>
                  </w:tcBorders>
                  <w:vAlign w:val="center"/>
                </w:tcPr>
                <w:p>
                  <w:pPr>
                    <w:jc w:val="center"/>
                    <w:rPr>
                      <w:color w:val="000000"/>
                      <w:sz w:val="21"/>
                      <w:szCs w:val="21"/>
                    </w:rPr>
                  </w:pPr>
                  <w:r>
                    <w:rPr>
                      <w:rFonts w:hint="eastAsia"/>
                      <w:color w:val="000000"/>
                      <w:sz w:val="21"/>
                      <w:szCs w:val="21"/>
                    </w:rPr>
                    <w:t>3</w:t>
                  </w:r>
                  <w:r>
                    <w:rPr>
                      <w:color w:val="0000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914" w:type="dxa"/>
                  <w:vMerge w:val="continue"/>
                  <w:tcBorders>
                    <w:left w:val="nil"/>
                    <w:right w:val="single" w:color="auto" w:sz="4" w:space="0"/>
                  </w:tcBorders>
                  <w:vAlign w:val="center"/>
                </w:tcPr>
                <w:p>
                  <w:pPr>
                    <w:spacing w:line="480" w:lineRule="auto"/>
                    <w:jc w:val="center"/>
                    <w:rPr>
                      <w:color w:val="000000"/>
                      <w:sz w:val="21"/>
                      <w:szCs w:val="21"/>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sz w:val="21"/>
                    </w:rPr>
                    <w:t>地板</w:t>
                  </w: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120mm混凝土+2mmPb当量硫酸钡水泥</w:t>
                  </w:r>
                </w:p>
              </w:tc>
              <w:tc>
                <w:tcPr>
                  <w:tcW w:w="1391" w:type="dxa"/>
                  <w:tcBorders>
                    <w:top w:val="single" w:color="auto" w:sz="4" w:space="0"/>
                    <w:left w:val="single" w:color="auto" w:sz="4" w:space="0"/>
                    <w:bottom w:val="single" w:color="auto" w:sz="4" w:space="0"/>
                    <w:right w:val="nil"/>
                  </w:tcBorders>
                  <w:vAlign w:val="center"/>
                </w:tcPr>
                <w:p>
                  <w:pPr>
                    <w:jc w:val="center"/>
                    <w:rPr>
                      <w:color w:val="000000"/>
                      <w:sz w:val="21"/>
                      <w:szCs w:val="21"/>
                    </w:rPr>
                  </w:pPr>
                  <w:r>
                    <w:rPr>
                      <w:color w:val="000000"/>
                      <w:sz w:val="21"/>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983" w:type="dxa"/>
                  <w:gridSpan w:val="4"/>
                  <w:tcBorders>
                    <w:left w:val="nil"/>
                    <w:bottom w:val="single" w:color="auto" w:sz="12" w:space="0"/>
                    <w:right w:val="single" w:color="auto" w:sz="4" w:space="0"/>
                  </w:tcBorders>
                  <w:vAlign w:val="center"/>
                </w:tcPr>
                <w:p>
                  <w:pPr>
                    <w:rPr>
                      <w:sz w:val="21"/>
                      <w:szCs w:val="21"/>
                    </w:rPr>
                  </w:pPr>
                  <w:r>
                    <w:rPr>
                      <w:rFonts w:hint="eastAsia"/>
                      <w:sz w:val="21"/>
                      <w:szCs w:val="21"/>
                    </w:rPr>
                    <w:t>备注：（</w:t>
                  </w:r>
                  <w:r>
                    <w:rPr>
                      <w:sz w:val="21"/>
                      <w:szCs w:val="21"/>
                    </w:rPr>
                    <w:t>1</w:t>
                  </w:r>
                  <w:r>
                    <w:rPr>
                      <w:rFonts w:hint="eastAsia"/>
                      <w:sz w:val="21"/>
                      <w:szCs w:val="21"/>
                    </w:rPr>
                    <w:t>）铅密度：11.3g/,cm³；混凝土密度：2.35g/cm³；实心砖密度：1.6g/cm</w:t>
                  </w:r>
                  <w:r>
                    <w:rPr>
                      <w:rFonts w:hint="eastAsia"/>
                      <w:sz w:val="21"/>
                      <w:szCs w:val="21"/>
                      <w:vertAlign w:val="superscript"/>
                    </w:rPr>
                    <w:t>3</w:t>
                  </w:r>
                  <w:r>
                    <w:rPr>
                      <w:rFonts w:hint="eastAsia"/>
                      <w:sz w:val="21"/>
                      <w:szCs w:val="21"/>
                    </w:rPr>
                    <w:t>；</w:t>
                  </w:r>
                </w:p>
                <w:p>
                  <w:pPr>
                    <w:ind w:firstLine="630" w:firstLineChars="300"/>
                    <w:rPr>
                      <w:sz w:val="21"/>
                      <w:szCs w:val="21"/>
                    </w:rPr>
                  </w:pPr>
                  <w:r>
                    <w:rPr>
                      <w:rFonts w:hint="eastAsia"/>
                      <w:sz w:val="21"/>
                      <w:szCs w:val="21"/>
                    </w:rPr>
                    <w:t>（</w:t>
                  </w:r>
                  <w:r>
                    <w:rPr>
                      <w:sz w:val="21"/>
                      <w:szCs w:val="21"/>
                    </w:rPr>
                    <w:t>3</w:t>
                  </w:r>
                  <w:r>
                    <w:rPr>
                      <w:rFonts w:hint="eastAsia"/>
                      <w:sz w:val="21"/>
                      <w:szCs w:val="21"/>
                    </w:rPr>
                    <w:t>）根据建设单位提供资料，本次使用的硫酸钡防护材料等效铅当量</w:t>
                  </w:r>
                  <w:r>
                    <w:rPr>
                      <w:sz w:val="21"/>
                      <w:szCs w:val="21"/>
                    </w:rPr>
                    <w:t>2</w:t>
                  </w:r>
                  <w:r>
                    <w:rPr>
                      <w:rFonts w:hint="eastAsia"/>
                      <w:sz w:val="21"/>
                      <w:szCs w:val="21"/>
                    </w:rPr>
                    <w:t>mmPb；</w:t>
                  </w:r>
                </w:p>
                <w:p>
                  <w:pPr>
                    <w:rPr>
                      <w:color w:val="000000"/>
                      <w:sz w:val="21"/>
                      <w:szCs w:val="21"/>
                    </w:rPr>
                  </w:pPr>
                  <w:r>
                    <w:rPr>
                      <w:rFonts w:hint="eastAsia"/>
                      <w:sz w:val="21"/>
                      <w:szCs w:val="21"/>
                    </w:rPr>
                    <w:t xml:space="preserve"> </w:t>
                  </w:r>
                  <w:r>
                    <w:rPr>
                      <w:sz w:val="21"/>
                      <w:szCs w:val="21"/>
                    </w:rPr>
                    <w:t xml:space="preserve">     </w:t>
                  </w:r>
                  <w:r>
                    <w:rPr>
                      <w:rFonts w:hint="eastAsia"/>
                      <w:sz w:val="21"/>
                      <w:szCs w:val="21"/>
                    </w:rPr>
                    <w:t>（</w:t>
                  </w:r>
                  <w:r>
                    <w:rPr>
                      <w:sz w:val="21"/>
                      <w:szCs w:val="21"/>
                    </w:rPr>
                    <w:t>4</w:t>
                  </w:r>
                  <w:r>
                    <w:rPr>
                      <w:rFonts w:hint="eastAsia"/>
                      <w:sz w:val="21"/>
                      <w:szCs w:val="21"/>
                    </w:rPr>
                    <w:t>）混凝土、实心砖等效铅当量估算依据《放射诊断放射防护要求》（GBZ130-2020）附录C，从保守角度，对于125kV的X射线有用线束，2</w:t>
                  </w:r>
                  <w:r>
                    <w:rPr>
                      <w:sz w:val="21"/>
                      <w:szCs w:val="21"/>
                    </w:rPr>
                    <w:t>40</w:t>
                  </w:r>
                  <w:r>
                    <w:rPr>
                      <w:rFonts w:hint="eastAsia"/>
                      <w:sz w:val="21"/>
                      <w:szCs w:val="21"/>
                    </w:rPr>
                    <w:t>mm混凝土等效铅当量3</w:t>
                  </w:r>
                  <w:r>
                    <w:rPr>
                      <w:sz w:val="21"/>
                      <w:szCs w:val="21"/>
                    </w:rPr>
                    <w:t>.2</w:t>
                  </w:r>
                  <w:r>
                    <w:rPr>
                      <w:rFonts w:hint="eastAsia"/>
                      <w:sz w:val="21"/>
                      <w:szCs w:val="21"/>
                    </w:rPr>
                    <w:t>mmPb，</w:t>
                  </w:r>
                  <w:r>
                    <w:rPr>
                      <w:sz w:val="21"/>
                      <w:szCs w:val="21"/>
                    </w:rPr>
                    <w:t>12</w:t>
                  </w:r>
                  <w:r>
                    <w:rPr>
                      <w:rFonts w:hint="eastAsia"/>
                      <w:sz w:val="21"/>
                      <w:szCs w:val="21"/>
                    </w:rPr>
                    <w:t>0mm混凝土等效铅当量1</w:t>
                  </w:r>
                  <w:r>
                    <w:rPr>
                      <w:sz w:val="21"/>
                      <w:szCs w:val="21"/>
                    </w:rPr>
                    <w:t>.4</w:t>
                  </w:r>
                  <w:r>
                    <w:rPr>
                      <w:rFonts w:hint="eastAsia"/>
                      <w:sz w:val="21"/>
                      <w:szCs w:val="21"/>
                    </w:rPr>
                    <w:t>mmPb，</w:t>
                  </w:r>
                  <w:r>
                    <w:rPr>
                      <w:sz w:val="21"/>
                      <w:szCs w:val="21"/>
                    </w:rPr>
                    <w:t>240</w:t>
                  </w:r>
                  <w:r>
                    <w:rPr>
                      <w:rFonts w:hint="eastAsia"/>
                      <w:sz w:val="21"/>
                      <w:szCs w:val="21"/>
                    </w:rPr>
                    <w:t>mm实心砖等效铅当量2</w:t>
                  </w:r>
                  <w:r>
                    <w:rPr>
                      <w:sz w:val="21"/>
                      <w:szCs w:val="21"/>
                    </w:rPr>
                    <w:t>.3</w:t>
                  </w:r>
                  <w:r>
                    <w:rPr>
                      <w:rFonts w:hint="eastAsia"/>
                      <w:sz w:val="21"/>
                      <w:szCs w:val="21"/>
                    </w:rPr>
                    <w:t>mmPb，</w:t>
                  </w:r>
                  <w:r>
                    <w:rPr>
                      <w:sz w:val="21"/>
                      <w:szCs w:val="21"/>
                    </w:rPr>
                    <w:t>12</w:t>
                  </w:r>
                  <w:r>
                    <w:rPr>
                      <w:rFonts w:hint="eastAsia"/>
                      <w:sz w:val="21"/>
                      <w:szCs w:val="21"/>
                    </w:rPr>
                    <w:t>0mm实心砖等效铅当量0</w:t>
                  </w:r>
                  <w:r>
                    <w:rPr>
                      <w:sz w:val="21"/>
                      <w:szCs w:val="21"/>
                    </w:rPr>
                    <w:t>.9</w:t>
                  </w:r>
                  <w:r>
                    <w:rPr>
                      <w:rFonts w:hint="eastAsia"/>
                      <w:sz w:val="21"/>
                      <w:szCs w:val="21"/>
                    </w:rPr>
                    <w:t>mmPb。</w:t>
                  </w:r>
                </w:p>
              </w:tc>
            </w:tr>
          </w:tbl>
          <w:p>
            <w:pPr>
              <w:adjustRightInd w:val="0"/>
              <w:spacing w:line="360" w:lineRule="auto"/>
              <w:ind w:right="113" w:firstLine="480" w:firstLineChars="200"/>
              <w:textAlignment w:val="baseline"/>
            </w:pPr>
            <w:r>
              <w:rPr>
                <w:rFonts w:hint="eastAsia"/>
              </w:rPr>
              <w:t>由表10-1可知，项目DSA手术室东侧、南侧、西侧、北侧墙体的等效铅当量分别为</w:t>
            </w:r>
            <w:r>
              <w:t>5.2</w:t>
            </w:r>
            <w:r>
              <w:rPr>
                <w:rFonts w:hint="eastAsia"/>
              </w:rPr>
              <w:t>mmPb、</w:t>
            </w:r>
            <w:r>
              <w:t>4.3mmPb</w:t>
            </w:r>
            <w:r>
              <w:rPr>
                <w:rFonts w:hint="eastAsia"/>
              </w:rPr>
              <w:t>、4</w:t>
            </w:r>
            <w:r>
              <w:t>.9mmPb</w:t>
            </w:r>
            <w:r>
              <w:rPr>
                <w:rFonts w:hint="eastAsia"/>
              </w:rPr>
              <w:t>、</w:t>
            </w:r>
            <w:r>
              <w:t>5.2mmPb</w:t>
            </w:r>
            <w:r>
              <w:rPr>
                <w:rFonts w:hint="eastAsia"/>
              </w:rPr>
              <w:t>，顶棚和地板防护的等效铅当量为3</w:t>
            </w:r>
            <w:r>
              <w:t>.4</w:t>
            </w:r>
            <w:r>
              <w:rPr>
                <w:rFonts w:hint="eastAsia"/>
              </w:rPr>
              <w:t>mmPb，各防护门防护的等效铅当量均为3mmPb，观察窗防护的等效铅当量为3mmPb，满足《放射诊断放射防护要求》（GBZ130-2020）中“介入X射线设备机房有用线束方向铅当量2mm，非有用线束方向铅当量2mm”的要求。</w:t>
            </w:r>
          </w:p>
          <w:p>
            <w:pPr>
              <w:adjustRightInd w:val="0"/>
              <w:spacing w:line="360" w:lineRule="auto"/>
              <w:ind w:right="113" w:firstLine="480" w:firstLineChars="200"/>
              <w:textAlignment w:val="baseline"/>
            </w:pPr>
            <w:r>
              <w:rPr>
                <w:rFonts w:hint="eastAsia"/>
              </w:rPr>
              <w:t>由表10-1可知，项目</w:t>
            </w:r>
            <w:r>
              <w:t>DSA手术室</w:t>
            </w:r>
            <w:r>
              <w:rPr>
                <w:rFonts w:hint="eastAsia"/>
              </w:rPr>
              <w:t>最小有效使用面积和最小单边长度均满足《放射诊断放射防护要求》（GBZ130-2020）中“机房内最小有效使用面积20m</w:t>
            </w:r>
            <w:r>
              <w:rPr>
                <w:rFonts w:hint="eastAsia"/>
                <w:vertAlign w:val="superscript"/>
              </w:rPr>
              <w:t>2</w:t>
            </w:r>
            <w:r>
              <w:rPr>
                <w:rFonts w:hint="eastAsia"/>
              </w:rPr>
              <w:t>，机房内最小单边长度3.5m”的要求。</w:t>
            </w:r>
          </w:p>
          <w:p>
            <w:pPr>
              <w:autoSpaceDE w:val="0"/>
              <w:autoSpaceDN w:val="0"/>
              <w:adjustRightInd w:val="0"/>
              <w:spacing w:line="360" w:lineRule="auto"/>
              <w:rPr>
                <w:b/>
                <w:color w:val="000000"/>
                <w:sz w:val="28"/>
                <w:szCs w:val="28"/>
              </w:rPr>
            </w:pPr>
            <w:r>
              <w:rPr>
                <w:b/>
                <w:color w:val="000000"/>
                <w:kern w:val="0"/>
                <w:sz w:val="28"/>
                <w:szCs w:val="28"/>
              </w:rPr>
              <w:t xml:space="preserve">10.4 </w:t>
            </w:r>
            <w:r>
              <w:rPr>
                <w:b/>
                <w:color w:val="000000"/>
                <w:sz w:val="28"/>
                <w:szCs w:val="28"/>
              </w:rPr>
              <w:t>安全防护措施</w:t>
            </w:r>
          </w:p>
          <w:p>
            <w:pPr>
              <w:autoSpaceDE w:val="0"/>
              <w:autoSpaceDN w:val="0"/>
              <w:adjustRightInd w:val="0"/>
              <w:spacing w:line="360" w:lineRule="auto"/>
              <w:ind w:firstLine="480" w:firstLineChars="200"/>
              <w:rPr>
                <w:bCs/>
                <w:color w:val="000000"/>
              </w:rPr>
            </w:pPr>
            <w:r>
              <w:rPr>
                <w:rFonts w:hint="eastAsia"/>
                <w:bCs/>
                <w:color w:val="000000"/>
              </w:rPr>
              <w:t>本项目DSA手术室与控制室之间已设置观察窗，以便观察到手术室内患者状态。为保障</w:t>
            </w:r>
            <w:r>
              <w:rPr>
                <w:rFonts w:hint="eastAsia"/>
                <w:color w:val="000000"/>
                <w:kern w:val="0"/>
              </w:rPr>
              <w:t>数字减影血管造影机（DSA）</w:t>
            </w:r>
            <w:r>
              <w:rPr>
                <w:rFonts w:hint="eastAsia"/>
                <w:bCs/>
                <w:color w:val="000000"/>
              </w:rPr>
              <w:t>的安全运行，避免在开机出束期间人员误留或误入机房内而发生误照射事故，本项目DSA手术室还应采取如下辐射安全措施或设施：</w:t>
            </w:r>
          </w:p>
          <w:p>
            <w:pPr>
              <w:autoSpaceDE w:val="0"/>
              <w:autoSpaceDN w:val="0"/>
              <w:adjustRightInd w:val="0"/>
              <w:spacing w:line="360" w:lineRule="auto"/>
              <w:ind w:firstLine="480" w:firstLineChars="200"/>
              <w:rPr>
                <w:bCs/>
                <w:color w:val="000000"/>
              </w:rPr>
            </w:pPr>
            <w:r>
              <w:rPr>
                <w:rFonts w:hint="eastAsia"/>
                <w:bCs/>
                <w:color w:val="000000"/>
              </w:rPr>
              <w:t>（1）DSA手术室医护患者出入门设置电离辐射警告标志，进出走廊设置放射防护注意事项告知栏。</w:t>
            </w:r>
          </w:p>
          <w:p>
            <w:pPr>
              <w:autoSpaceDE w:val="0"/>
              <w:autoSpaceDN w:val="0"/>
              <w:adjustRightInd w:val="0"/>
              <w:spacing w:line="360" w:lineRule="auto"/>
              <w:ind w:firstLine="480" w:firstLineChars="200"/>
              <w:rPr>
                <w:bCs/>
                <w:color w:val="000000"/>
              </w:rPr>
            </w:pPr>
            <w:r>
              <w:rPr>
                <w:rFonts w:hint="eastAsia"/>
                <w:bCs/>
                <w:color w:val="000000"/>
              </w:rPr>
              <w:t>（</w:t>
            </w:r>
            <w:r>
              <w:rPr>
                <w:bCs/>
                <w:color w:val="000000"/>
              </w:rPr>
              <w:t>2</w:t>
            </w:r>
            <w:r>
              <w:rPr>
                <w:rFonts w:hint="eastAsia"/>
                <w:bCs/>
                <w:color w:val="000000"/>
              </w:rPr>
              <w:t>）医护患者出入门上方设置醒目的工作状态指示灯，指示灯的灯箱上应设有“射线有害，灯亮勿入”的警示语句。指示灯与医护患者出入门有效联动。</w:t>
            </w:r>
          </w:p>
          <w:p>
            <w:pPr>
              <w:autoSpaceDE w:val="0"/>
              <w:autoSpaceDN w:val="0"/>
              <w:adjustRightInd w:val="0"/>
              <w:spacing w:line="360" w:lineRule="auto"/>
              <w:ind w:firstLine="480" w:firstLineChars="200"/>
              <w:rPr>
                <w:bCs/>
                <w:color w:val="000000"/>
              </w:rPr>
            </w:pPr>
            <w:r>
              <w:rPr>
                <w:rFonts w:hint="eastAsia"/>
                <w:bCs/>
                <w:color w:val="000000"/>
              </w:rPr>
              <w:t>（</w:t>
            </w:r>
            <w:r>
              <w:rPr>
                <w:bCs/>
                <w:color w:val="000000"/>
              </w:rPr>
              <w:t>3</w:t>
            </w:r>
            <w:r>
              <w:rPr>
                <w:rFonts w:hint="eastAsia"/>
                <w:bCs/>
                <w:color w:val="000000"/>
              </w:rPr>
              <w:t>）医护患者出入门设置为电动推拉门，并设置防夹装置。</w:t>
            </w:r>
          </w:p>
          <w:p>
            <w:pPr>
              <w:autoSpaceDE w:val="0"/>
              <w:autoSpaceDN w:val="0"/>
              <w:adjustRightInd w:val="0"/>
              <w:spacing w:line="360" w:lineRule="auto"/>
              <w:ind w:firstLine="480" w:firstLineChars="200"/>
              <w:rPr>
                <w:bCs/>
                <w:color w:val="000000"/>
              </w:rPr>
            </w:pPr>
            <w:r>
              <w:rPr>
                <w:rFonts w:hint="eastAsia"/>
                <w:bCs/>
                <w:color w:val="000000"/>
              </w:rPr>
              <w:t>（</w:t>
            </w:r>
            <w:r>
              <w:rPr>
                <w:bCs/>
                <w:color w:val="000000"/>
              </w:rPr>
              <w:t>4</w:t>
            </w:r>
            <w:r>
              <w:rPr>
                <w:rFonts w:hint="eastAsia"/>
                <w:bCs/>
                <w:color w:val="000000"/>
              </w:rPr>
              <w:t>）控制室设置有观察窗，操作人员通过观察窗观察手术室内工作人员及患者状态。</w:t>
            </w:r>
          </w:p>
          <w:p>
            <w:pPr>
              <w:autoSpaceDE w:val="0"/>
              <w:autoSpaceDN w:val="0"/>
              <w:adjustRightInd w:val="0"/>
              <w:spacing w:line="360" w:lineRule="auto"/>
              <w:ind w:firstLine="480" w:firstLineChars="200"/>
              <w:rPr>
                <w:bCs/>
                <w:color w:val="000000"/>
              </w:rPr>
            </w:pPr>
            <w:r>
              <w:rPr>
                <w:rFonts w:hint="eastAsia"/>
                <w:bCs/>
                <w:color w:val="000000"/>
              </w:rPr>
              <w:t>（</w:t>
            </w:r>
            <w:r>
              <w:rPr>
                <w:bCs/>
                <w:color w:val="000000"/>
              </w:rPr>
              <w:t>5</w:t>
            </w:r>
            <w:r>
              <w:rPr>
                <w:rFonts w:hint="eastAsia"/>
                <w:bCs/>
                <w:color w:val="000000"/>
              </w:rPr>
              <w:t>）DSA手术室内布局要合理，尽量避免有用线束直接照射门、窗和管线口（包括线缆沟、通风管道等）位置和工作人员操作位。不得堆放与数字减影血管造影设备诊断工作无关的杂物。</w:t>
            </w:r>
          </w:p>
          <w:p>
            <w:pPr>
              <w:autoSpaceDE w:val="0"/>
              <w:autoSpaceDN w:val="0"/>
              <w:adjustRightInd w:val="0"/>
              <w:spacing w:line="360" w:lineRule="auto"/>
              <w:ind w:firstLine="480" w:firstLineChars="200"/>
              <w:rPr>
                <w:bCs/>
                <w:color w:val="000000"/>
              </w:rPr>
            </w:pPr>
            <w:r>
              <w:rPr>
                <w:rFonts w:hint="eastAsia"/>
                <w:bCs/>
                <w:color w:val="000000"/>
              </w:rPr>
              <w:t>（</w:t>
            </w:r>
            <w:r>
              <w:rPr>
                <w:bCs/>
                <w:color w:val="000000"/>
              </w:rPr>
              <w:t>6</w:t>
            </w:r>
            <w:r>
              <w:rPr>
                <w:rFonts w:hint="eastAsia"/>
                <w:bCs/>
                <w:color w:val="000000"/>
              </w:rPr>
              <w:t>）DSA手术室内设置动力通风装置，保持室内良好通风，防止机房内空气中臭氧和氮氧化物等有害气体的累积。</w:t>
            </w:r>
          </w:p>
          <w:p>
            <w:pPr>
              <w:autoSpaceDE w:val="0"/>
              <w:autoSpaceDN w:val="0"/>
              <w:adjustRightInd w:val="0"/>
              <w:spacing w:line="360" w:lineRule="auto"/>
              <w:ind w:firstLine="480" w:firstLineChars="200"/>
              <w:rPr>
                <w:bCs/>
                <w:color w:val="000000"/>
              </w:rPr>
            </w:pPr>
            <w:r>
              <w:rPr>
                <w:rFonts w:hint="eastAsia"/>
                <w:bCs/>
                <w:color w:val="000000"/>
              </w:rPr>
              <w:t>（</w:t>
            </w:r>
            <w:r>
              <w:rPr>
                <w:bCs/>
                <w:color w:val="000000"/>
              </w:rPr>
              <w:t>7</w:t>
            </w:r>
            <w:r>
              <w:rPr>
                <w:rFonts w:hint="eastAsia"/>
                <w:bCs/>
                <w:color w:val="000000"/>
              </w:rPr>
              <w:t>）医院应配备1台剂量率监测仪，定期巡检并建立监测数据档案。</w:t>
            </w:r>
          </w:p>
          <w:p>
            <w:pPr>
              <w:pStyle w:val="2"/>
              <w:ind w:firstLine="480"/>
              <w:rPr>
                <w:rFonts w:eastAsia="宋体"/>
                <w:color w:val="000000"/>
              </w:rPr>
            </w:pPr>
            <w:r>
              <w:rPr>
                <w:rFonts w:hint="eastAsia"/>
                <w:bCs/>
                <w:color w:val="000000"/>
              </w:rPr>
              <w:t>（</w:t>
            </w:r>
            <w:r>
              <w:rPr>
                <w:bCs/>
                <w:color w:val="000000"/>
              </w:rPr>
              <w:t>8</w:t>
            </w:r>
            <w:r>
              <w:rPr>
                <w:rFonts w:hint="eastAsia"/>
                <w:bCs/>
                <w:color w:val="000000"/>
              </w:rPr>
              <w:t>）</w:t>
            </w:r>
            <w:r>
              <w:rPr>
                <w:rFonts w:hint="eastAsia" w:ascii="宋体" w:hAnsi="宋体" w:eastAsia="宋体" w:cs="宋体"/>
                <w:bCs/>
                <w:color w:val="000000"/>
              </w:rPr>
              <w:t>医院应给介入手术医生、护士人员配备铅橡胶围裙、铅橡胶颈套、铅防护眼镜、介入防护手套等防护用品，其数量应至少满足机房内单台手术医生、护士需要。对于受检者，应配备铅橡胶性腺防护围裙或方巾、铅橡胶颈套。除此之外，应在机房内部配备铅悬挂防护屏、床侧防护屏等辅助防护设施。必要时机房内可配备移动铅屏风。</w:t>
            </w:r>
          </w:p>
          <w:p>
            <w:pPr>
              <w:spacing w:line="360" w:lineRule="auto"/>
              <w:ind w:firstLine="480" w:firstLineChars="200"/>
              <w:rPr>
                <w:color w:val="000000" w:themeColor="text1"/>
                <w14:textFill>
                  <w14:solidFill>
                    <w14:schemeClr w14:val="tx1"/>
                  </w14:solidFill>
                </w14:textFill>
              </w:rPr>
            </w:pPr>
            <w:r>
              <w:rPr>
                <w:rFonts w:hint="eastAsia"/>
                <w:bCs/>
                <w:color w:val="000000"/>
              </w:rPr>
              <w:t>（</w:t>
            </w:r>
            <w:r>
              <w:rPr>
                <w:bCs/>
                <w:color w:val="000000"/>
              </w:rPr>
              <w:t>9</w:t>
            </w:r>
            <w:r>
              <w:rPr>
                <w:rFonts w:hint="eastAsia"/>
                <w:bCs/>
                <w:color w:val="000000"/>
              </w:rPr>
              <w:t>）</w:t>
            </w:r>
            <w:r>
              <w:rPr>
                <w:color w:val="000000" w:themeColor="text1"/>
                <w14:textFill>
                  <w14:solidFill>
                    <w14:schemeClr w14:val="tx1"/>
                  </w14:solidFill>
                </w14:textFill>
              </w:rPr>
              <w:t>DSA</w:t>
            </w:r>
            <w:bookmarkStart w:id="27" w:name="_Hlk111915332"/>
            <w:r>
              <w:rPr>
                <w:rFonts w:hint="eastAsia"/>
                <w:color w:val="000000" w:themeColor="text1"/>
                <w14:textFill>
                  <w14:solidFill>
                    <w14:schemeClr w14:val="tx1"/>
                  </w14:solidFill>
                </w14:textFill>
              </w:rPr>
              <w:t>设备和操作间工作台上</w:t>
            </w:r>
            <w:r>
              <w:rPr>
                <w:color w:val="000000" w:themeColor="text1"/>
                <w14:textFill>
                  <w14:solidFill>
                    <w14:schemeClr w14:val="tx1"/>
                  </w14:solidFill>
                </w14:textFill>
              </w:rPr>
              <w:t>各设置1个紧急停机按钮，用于事故情形下紧急停止DSA出束。</w:t>
            </w:r>
            <w:bookmarkEnd w:id="27"/>
          </w:p>
          <w:p>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）DSA手术室设置动力排风装置，保持良好通风。机房内不堆放与设备诊断工作无关的杂物。本项目拟建DSA手术室通排风口位置及管道布局图见图10-</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。医院拟对通排风管道进出口位置包裹不小于3mmPb铅皮进行防护，通排风管道在手术室上方呈“</w:t>
            </w:r>
            <w:r>
              <w:rPr>
                <w:color w:val="00B0F0"/>
              </w:rPr>
              <mc:AlternateContent>
                <mc:Choice Requires="wps">
                  <w:drawing>
                    <wp:inline distT="0" distB="0" distL="0" distR="0">
                      <wp:extent cx="254635" cy="95250"/>
                      <wp:effectExtent l="0" t="9525" r="12065" b="9525"/>
                      <wp:docPr id="95" name="任意多边形 95"/>
                      <wp:cNvGraphicFramePr/>
                      <a:graphic xmlns:a="http://schemas.openxmlformats.org/drawingml/2006/main">
                        <a:graphicData uri="http://schemas.microsoft.com/office/word/2010/wordprocessingShape">
                          <wps:wsp>
                            <wps:cNvSpPr/>
                            <wps:spPr>
                              <a:xfrm>
                                <a:off x="0" y="0"/>
                                <a:ext cx="254977" cy="95837"/>
                              </a:xfrm>
                              <a:custGeom>
                                <a:avLst/>
                                <a:gdLst>
                                  <a:gd name="connsiteX0" fmla="*/ 0 w 668216"/>
                                  <a:gd name="connsiteY0" fmla="*/ 149470 h 149470"/>
                                  <a:gd name="connsiteX1" fmla="*/ 281354 w 668216"/>
                                  <a:gd name="connsiteY1" fmla="*/ 149470 h 149470"/>
                                  <a:gd name="connsiteX2" fmla="*/ 430824 w 668216"/>
                                  <a:gd name="connsiteY2" fmla="*/ 0 h 149470"/>
                                  <a:gd name="connsiteX3" fmla="*/ 668216 w 668216"/>
                                  <a:gd name="connsiteY3" fmla="*/ 0 h 149470"/>
                                </a:gdLst>
                                <a:ahLst/>
                                <a:cxnLst>
                                  <a:cxn ang="0">
                                    <a:pos x="connsiteX0" y="connsiteY0"/>
                                  </a:cxn>
                                  <a:cxn ang="0">
                                    <a:pos x="connsiteX1" y="connsiteY1"/>
                                  </a:cxn>
                                  <a:cxn ang="0">
                                    <a:pos x="connsiteX2" y="connsiteY2"/>
                                  </a:cxn>
                                  <a:cxn ang="0">
                                    <a:pos x="connsiteX3" y="connsiteY3"/>
                                  </a:cxn>
                                </a:cxnLst>
                                <a:rect l="l" t="t" r="r" b="b"/>
                                <a:pathLst>
                                  <a:path w="668216" h="149470">
                                    <a:moveTo>
                                      <a:pt x="0" y="149470"/>
                                    </a:moveTo>
                                    <a:lnTo>
                                      <a:pt x="281354" y="149470"/>
                                    </a:lnTo>
                                    <a:lnTo>
                                      <a:pt x="430824" y="0"/>
                                    </a:lnTo>
                                    <a:lnTo>
                                      <a:pt x="668216" y="0"/>
                                    </a:lnTo>
                                  </a:path>
                                </a:pathLst>
                              </a:cu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o:spt="100" style="height:7.5pt;width:20.05pt;v-text-anchor:middle;" filled="f" stroked="t" coordsize="668216,149470" o:gfxdata="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Kc6KsnVAAAAAwEAAA8AAAAAAAAAAQAgAAAAIgAAAGRycy9kb3ducmV2LnhtbFBL&#10;AQIUABQAAAAIAIdO4kAmiHsqiAMAAKUIAAAOAAAAAAAAAAEAIAAAACQBAABkcnMvZTJvRG9jLnht&#10;bFBLBQYAAAAABgAGAFkBAAAeBwAAAAA=&#10;" path="m0,149470l281354,149470,430824,0,668216,0e">
                      <v:path o:connectlocs="0,95837;107358,95837;164393,0;254977,0" o:connectangles="0,0,0,0"/>
                      <v:fill on="f" focussize="0,0"/>
                      <v:stroke weight="1.5pt" color="#000000" miterlimit="8" joinstyle="miter"/>
                      <v:imagedata o:title=""/>
                      <o:lock v:ext="edit" aspectratio="f"/>
                      <w10:wrap type="none"/>
                      <w10:anchorlock/>
                    </v:shape>
                  </w:pict>
                </mc:Fallback>
              </mc:AlternateContent>
            </w:r>
            <w:r>
              <w:rPr>
                <w:rFonts w:hint="eastAsia"/>
                <w:color w:val="000000" w:themeColor="text1"/>
                <w14:textFill>
                  <w14:solidFill>
                    <w14:schemeClr w14:val="tx1"/>
                  </w14:solidFill>
                </w14:textFill>
              </w:rPr>
              <w:t>”型穿过屏蔽墙体，以降低对周围环境的辐射影响。</w:t>
            </w:r>
          </w:p>
          <w:p>
            <w:pPr>
              <w:spacing w:line="360" w:lineRule="auto"/>
              <w:ind w:firstLine="516" w:firstLineChars="215"/>
              <w:rPr>
                <w:color w:val="000000" w:themeColor="text1"/>
                <w14:textFill>
                  <w14:solidFill>
                    <w14:schemeClr w14:val="tx1"/>
                  </w14:solidFill>
                </w14:textFill>
              </w:rPr>
            </w:pPr>
            <w:r>
              <w:rPr>
                <w:color w:val="000000" w:themeColor="text1"/>
                <w14:textFill>
                  <w14:solidFill>
                    <w14:schemeClr w14:val="tx1"/>
                  </w14:solidFill>
                </w14:textFill>
              </w:rPr>
              <w:t>（11）</w:t>
            </w:r>
            <w:bookmarkStart w:id="28" w:name="_Hlk128487934"/>
            <w:r>
              <w:rPr>
                <w:color w:val="000000" w:themeColor="text1"/>
                <w14:textFill>
                  <w14:solidFill>
                    <w14:schemeClr w14:val="tx1"/>
                  </w14:solidFill>
                </w14:textFill>
              </w:rPr>
              <w:t>电缆、管道等穿过DSA机房介入手术室墙面的孔道应避开有用线束及人员经常驻留的区域，并采用弧状孔、曲路或地沟形式。</w:t>
            </w:r>
            <w:bookmarkEnd w:id="28"/>
            <w:r>
              <w:rPr>
                <w:color w:val="000000" w:themeColor="text1"/>
                <w14:textFill>
                  <w14:solidFill>
                    <w14:schemeClr w14:val="tx1"/>
                  </w14:solidFill>
                </w14:textFill>
              </w:rPr>
              <w:t>本项目DSA手术室电缆管道等穿过机房墙面的孔道</w:t>
            </w:r>
            <w:r>
              <w:rPr>
                <w:rFonts w:hint="eastAsia"/>
                <w:color w:val="000000" w:themeColor="text1"/>
                <w14:textFill>
                  <w14:solidFill>
                    <w14:schemeClr w14:val="tx1"/>
                  </w14:solidFill>
                </w14:textFill>
              </w:rPr>
              <w:t>已</w:t>
            </w:r>
            <w:r>
              <w:rPr>
                <w:color w:val="000000" w:themeColor="text1"/>
                <w14:textFill>
                  <w14:solidFill>
                    <w14:schemeClr w14:val="tx1"/>
                  </w14:solidFill>
                </w14:textFill>
              </w:rPr>
              <w:t>采用U型管形式，示意图见图10-5。</w:t>
            </w:r>
          </w:p>
          <w:p>
            <w:pPr>
              <w:pStyle w:val="2"/>
              <w:ind w:firstLine="480"/>
              <w:rPr>
                <w:rFonts w:eastAsia="黑体"/>
                <w:b/>
                <w:bCs/>
                <w:color w:val="000000" w:themeColor="text1"/>
                <w:sz w:val="22"/>
                <w:szCs w:val="22"/>
                <w14:textFill>
                  <w14:solidFill>
                    <w14:schemeClr w14:val="tx1"/>
                  </w14:solidFill>
                </w14:textFill>
              </w:rPr>
            </w:pPr>
            <w:r>
              <w:drawing>
                <wp:anchor distT="0" distB="0" distL="114300" distR="114300" simplePos="0" relativeHeight="251672576" behindDoc="0" locked="0" layoutInCell="1" allowOverlap="1">
                  <wp:simplePos x="0" y="0"/>
                  <wp:positionH relativeFrom="column">
                    <wp:posOffset>1003300</wp:posOffset>
                  </wp:positionH>
                  <wp:positionV relativeFrom="paragraph">
                    <wp:posOffset>623570</wp:posOffset>
                  </wp:positionV>
                  <wp:extent cx="3535045" cy="3775710"/>
                  <wp:effectExtent l="0" t="0" r="8255" b="0"/>
                  <wp:wrapTopAndBottom/>
                  <wp:docPr id="18511006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00681" name="图片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535045" cy="3775710"/>
                          </a:xfrm>
                          <a:prstGeom prst="rect">
                            <a:avLst/>
                          </a:prstGeom>
                          <a:noFill/>
                          <a:ln>
                            <a:noFill/>
                          </a:ln>
                        </pic:spPr>
                      </pic:pic>
                    </a:graphicData>
                  </a:graphic>
                </wp:anchor>
              </w:drawing>
            </w:r>
            <w:r>
              <w:rPr>
                <w:rFonts w:eastAsia="宋体"/>
                <w:color w:val="000000"/>
              </w:rPr>
              <w:t>项目DSA手术室配备的个人防护用品和辅助防护设施要求见表10-2。</w:t>
            </w:r>
            <w:r>
              <w:rPr>
                <w:rFonts w:hint="eastAsia"/>
                <w:color w:val="000000" w:themeColor="text1"/>
                <w14:textFill>
                  <w14:solidFill>
                    <w14:schemeClr w14:val="tx1"/>
                  </w14:solidFill>
                </w14:textFill>
              </w:rPr>
              <w:t>辐射安全设施布置示意图</w:t>
            </w:r>
            <w:r>
              <w:rPr>
                <w:rFonts w:hint="eastAsia" w:ascii="宋体" w:hAnsi="宋体" w:eastAsia="宋体" w:cs="宋体"/>
                <w:color w:val="000000" w:themeColor="text1"/>
                <w14:textFill>
                  <w14:solidFill>
                    <w14:schemeClr w14:val="tx1"/>
                  </w14:solidFill>
                </w14:textFill>
              </w:rPr>
              <w:t>见图1</w:t>
            </w:r>
            <w:r>
              <w:rPr>
                <w:rFonts w:ascii="宋体" w:hAnsi="宋体" w:eastAsia="宋体" w:cs="宋体"/>
                <w:color w:val="000000" w:themeColor="text1"/>
                <w14:textFill>
                  <w14:solidFill>
                    <w14:schemeClr w14:val="tx1"/>
                  </w14:solidFill>
                </w14:textFill>
              </w:rPr>
              <w:t>0-4</w:t>
            </w:r>
            <w:r>
              <w:rPr>
                <w:rFonts w:hint="eastAsia" w:ascii="宋体" w:hAnsi="宋体" w:eastAsia="宋体" w:cs="宋体"/>
                <w:color w:val="000000" w:themeColor="text1"/>
                <w14:textFill>
                  <w14:solidFill>
                    <w14:schemeClr w14:val="tx1"/>
                  </w14:solidFill>
                </w14:textFill>
              </w:rPr>
              <w:t>。</w:t>
            </w:r>
          </w:p>
          <w:p>
            <w:pPr>
              <w:pStyle w:val="2"/>
              <w:ind w:firstLine="0" w:firstLineChars="0"/>
              <w:jc w:val="center"/>
              <w:rPr>
                <w:rFonts w:eastAsia="黑体"/>
                <w:b/>
                <w:bCs/>
                <w:spacing w:val="-4"/>
              </w:rPr>
            </w:pPr>
            <w:r>
              <w:drawing>
                <wp:anchor distT="0" distB="0" distL="114300" distR="114300" simplePos="0" relativeHeight="251679744" behindDoc="0" locked="0" layoutInCell="1" allowOverlap="1">
                  <wp:simplePos x="0" y="0"/>
                  <wp:positionH relativeFrom="column">
                    <wp:posOffset>1167130</wp:posOffset>
                  </wp:positionH>
                  <wp:positionV relativeFrom="paragraph">
                    <wp:posOffset>4046855</wp:posOffset>
                  </wp:positionV>
                  <wp:extent cx="3374390" cy="1960880"/>
                  <wp:effectExtent l="0" t="0" r="0" b="1270"/>
                  <wp:wrapTopAndBottom/>
                  <wp:docPr id="21148043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04323"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374390" cy="1960880"/>
                          </a:xfrm>
                          <a:prstGeom prst="rect">
                            <a:avLst/>
                          </a:prstGeom>
                          <a:noFill/>
                          <a:ln>
                            <a:noFill/>
                          </a:ln>
                        </pic:spPr>
                      </pic:pic>
                    </a:graphicData>
                  </a:graphic>
                </wp:anchor>
              </w:drawing>
            </w:r>
            <w:r>
              <w:rPr>
                <w:rFonts w:hint="eastAsia" w:eastAsia="黑体"/>
                <w:b/>
                <w:bCs/>
                <w:spacing w:val="-4"/>
              </w:rPr>
              <w:t>图</w:t>
            </w:r>
            <w:r>
              <w:rPr>
                <w:rFonts w:eastAsia="黑体"/>
                <w:b/>
                <w:bCs/>
                <w:spacing w:val="-4"/>
              </w:rPr>
              <w:t xml:space="preserve">10-4  </w:t>
            </w:r>
            <w:r>
              <w:rPr>
                <w:rFonts w:hint="eastAsia" w:eastAsia="黑体"/>
                <w:b/>
                <w:bCs/>
                <w:spacing w:val="-4"/>
              </w:rPr>
              <w:t>DSA手术室辐射安全设施布置示意图</w:t>
            </w:r>
          </w:p>
          <w:p>
            <w:pPr>
              <w:spacing w:after="120"/>
              <w:ind w:firstLine="508" w:firstLineChars="211"/>
              <w:jc w:val="center"/>
              <w:rPr>
                <w:b/>
                <w:bCs/>
                <w:color w:val="000000"/>
              </w:rPr>
            </w:pPr>
            <w:r>
              <w:rPr>
                <w:rFonts w:eastAsia="黑体"/>
                <w:b/>
                <w:bCs/>
                <w:color w:val="000000"/>
              </w:rPr>
              <w:t>图10-5  电缆、管道穿过DSA机房介入手术室示意图（U型管）</w:t>
            </w:r>
          </w:p>
          <w:p>
            <w:pPr>
              <w:spacing w:line="360" w:lineRule="auto"/>
              <w:jc w:val="center"/>
              <w:rPr>
                <w:rFonts w:ascii="宋体" w:hAnsi="宋体"/>
                <w:b/>
                <w:bCs/>
                <w:sz w:val="21"/>
                <w:szCs w:val="21"/>
              </w:rPr>
            </w:pPr>
            <w:r>
              <w:rPr>
                <w:rFonts w:ascii="宋体" w:hAnsi="宋体"/>
                <w:b/>
                <w:bCs/>
                <w:sz w:val="21"/>
                <w:szCs w:val="21"/>
              </w:rPr>
              <w:t>表10-2  个人防护用品和辅助防护设施配置要求</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955"/>
              <w:gridCol w:w="2412"/>
              <w:gridCol w:w="1951"/>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9" w:type="dxa"/>
                  <w:vMerge w:val="restart"/>
                  <w:vAlign w:val="center"/>
                </w:tcPr>
                <w:p>
                  <w:pPr>
                    <w:tabs>
                      <w:tab w:val="left" w:pos="1200"/>
                    </w:tabs>
                    <w:snapToGrid w:val="0"/>
                    <w:jc w:val="center"/>
                    <w:rPr>
                      <w:bCs/>
                      <w:color w:val="000000"/>
                      <w:sz w:val="21"/>
                    </w:rPr>
                  </w:pPr>
                  <w:r>
                    <w:rPr>
                      <w:bCs/>
                      <w:color w:val="000000"/>
                      <w:sz w:val="21"/>
                    </w:rPr>
                    <w:t>放射检查类型</w:t>
                  </w:r>
                </w:p>
              </w:tc>
              <w:tc>
                <w:tcPr>
                  <w:tcW w:w="4367" w:type="dxa"/>
                  <w:gridSpan w:val="2"/>
                  <w:vAlign w:val="center"/>
                </w:tcPr>
                <w:p>
                  <w:pPr>
                    <w:tabs>
                      <w:tab w:val="left" w:pos="1200"/>
                    </w:tabs>
                    <w:snapToGrid w:val="0"/>
                    <w:jc w:val="center"/>
                    <w:rPr>
                      <w:bCs/>
                      <w:color w:val="000000"/>
                      <w:sz w:val="21"/>
                    </w:rPr>
                  </w:pPr>
                  <w:r>
                    <w:rPr>
                      <w:bCs/>
                      <w:color w:val="000000"/>
                      <w:sz w:val="21"/>
                    </w:rPr>
                    <w:t>工作人员</w:t>
                  </w:r>
                </w:p>
              </w:tc>
              <w:tc>
                <w:tcPr>
                  <w:tcW w:w="3610" w:type="dxa"/>
                  <w:gridSpan w:val="2"/>
                  <w:vAlign w:val="center"/>
                </w:tcPr>
                <w:p>
                  <w:pPr>
                    <w:tabs>
                      <w:tab w:val="left" w:pos="1200"/>
                    </w:tabs>
                    <w:snapToGrid w:val="0"/>
                    <w:jc w:val="center"/>
                    <w:rPr>
                      <w:bCs/>
                      <w:color w:val="000000"/>
                      <w:sz w:val="21"/>
                    </w:rPr>
                  </w:pPr>
                  <w:r>
                    <w:rPr>
                      <w:bCs/>
                      <w:color w:val="000000"/>
                      <w:sz w:val="21"/>
                    </w:rPr>
                    <w:t>患者和受检者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9" w:type="dxa"/>
                  <w:vMerge w:val="continue"/>
                  <w:vAlign w:val="center"/>
                </w:tcPr>
                <w:p>
                  <w:pPr>
                    <w:pStyle w:val="2"/>
                    <w:snapToGrid w:val="0"/>
                    <w:ind w:firstLine="0" w:firstLineChars="0"/>
                    <w:jc w:val="center"/>
                    <w:rPr>
                      <w:rFonts w:eastAsia="宋体"/>
                      <w:bCs/>
                      <w:color w:val="000000"/>
                      <w:sz w:val="21"/>
                    </w:rPr>
                  </w:pPr>
                </w:p>
              </w:tc>
              <w:tc>
                <w:tcPr>
                  <w:tcW w:w="1955" w:type="dxa"/>
                  <w:vAlign w:val="center"/>
                </w:tcPr>
                <w:p>
                  <w:pPr>
                    <w:pStyle w:val="2"/>
                    <w:snapToGrid w:val="0"/>
                    <w:spacing w:line="240" w:lineRule="auto"/>
                    <w:ind w:firstLine="0" w:firstLineChars="0"/>
                    <w:jc w:val="center"/>
                    <w:rPr>
                      <w:rFonts w:eastAsia="宋体"/>
                      <w:bCs/>
                      <w:color w:val="000000"/>
                      <w:sz w:val="21"/>
                    </w:rPr>
                  </w:pPr>
                  <w:r>
                    <w:rPr>
                      <w:rFonts w:eastAsia="宋体"/>
                      <w:bCs/>
                      <w:color w:val="000000"/>
                      <w:sz w:val="21"/>
                    </w:rPr>
                    <w:t>个人防护用品</w:t>
                  </w:r>
                </w:p>
              </w:tc>
              <w:tc>
                <w:tcPr>
                  <w:tcW w:w="2412" w:type="dxa"/>
                  <w:vAlign w:val="center"/>
                </w:tcPr>
                <w:p>
                  <w:pPr>
                    <w:pStyle w:val="2"/>
                    <w:snapToGrid w:val="0"/>
                    <w:spacing w:line="240" w:lineRule="auto"/>
                    <w:ind w:firstLine="0" w:firstLineChars="0"/>
                    <w:jc w:val="center"/>
                    <w:rPr>
                      <w:rFonts w:eastAsia="宋体"/>
                      <w:bCs/>
                      <w:color w:val="000000"/>
                      <w:sz w:val="21"/>
                    </w:rPr>
                  </w:pPr>
                  <w:r>
                    <w:rPr>
                      <w:rFonts w:eastAsia="宋体"/>
                      <w:bCs/>
                      <w:color w:val="000000"/>
                      <w:sz w:val="21"/>
                    </w:rPr>
                    <w:t>辅助防护设施</w:t>
                  </w:r>
                </w:p>
              </w:tc>
              <w:tc>
                <w:tcPr>
                  <w:tcW w:w="1951" w:type="dxa"/>
                  <w:vAlign w:val="center"/>
                </w:tcPr>
                <w:p>
                  <w:pPr>
                    <w:pStyle w:val="2"/>
                    <w:snapToGrid w:val="0"/>
                    <w:spacing w:line="240" w:lineRule="auto"/>
                    <w:ind w:firstLine="0" w:firstLineChars="0"/>
                    <w:jc w:val="center"/>
                    <w:rPr>
                      <w:rFonts w:eastAsia="宋体"/>
                      <w:bCs/>
                      <w:color w:val="000000"/>
                      <w:sz w:val="21"/>
                    </w:rPr>
                  </w:pPr>
                  <w:r>
                    <w:rPr>
                      <w:rFonts w:eastAsia="宋体"/>
                      <w:bCs/>
                      <w:color w:val="000000"/>
                      <w:sz w:val="21"/>
                    </w:rPr>
                    <w:t>个人防护用品</w:t>
                  </w:r>
                </w:p>
              </w:tc>
              <w:tc>
                <w:tcPr>
                  <w:tcW w:w="1659" w:type="dxa"/>
                  <w:vAlign w:val="center"/>
                </w:tcPr>
                <w:p>
                  <w:pPr>
                    <w:pStyle w:val="2"/>
                    <w:snapToGrid w:val="0"/>
                    <w:spacing w:line="240" w:lineRule="auto"/>
                    <w:ind w:firstLine="0" w:firstLineChars="0"/>
                    <w:jc w:val="center"/>
                    <w:rPr>
                      <w:rFonts w:eastAsia="宋体"/>
                      <w:bCs/>
                      <w:color w:val="000000"/>
                      <w:sz w:val="21"/>
                    </w:rPr>
                  </w:pPr>
                  <w:r>
                    <w:rPr>
                      <w:rFonts w:eastAsia="宋体"/>
                      <w:bCs/>
                      <w:color w:val="000000"/>
                      <w:sz w:val="21"/>
                    </w:rPr>
                    <w:t>辅助防护设施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Align w:val="center"/>
                </w:tcPr>
                <w:p>
                  <w:pPr>
                    <w:tabs>
                      <w:tab w:val="left" w:pos="1200"/>
                    </w:tabs>
                    <w:jc w:val="center"/>
                    <w:rPr>
                      <w:bCs/>
                      <w:color w:val="000000"/>
                      <w:sz w:val="21"/>
                    </w:rPr>
                  </w:pPr>
                  <w:r>
                    <w:rPr>
                      <w:bCs/>
                      <w:color w:val="000000"/>
                      <w:sz w:val="21"/>
                    </w:rPr>
                    <w:t>介入放射学操作</w:t>
                  </w:r>
                </w:p>
              </w:tc>
              <w:tc>
                <w:tcPr>
                  <w:tcW w:w="1955" w:type="dxa"/>
                  <w:vAlign w:val="center"/>
                </w:tcPr>
                <w:p>
                  <w:pPr>
                    <w:tabs>
                      <w:tab w:val="left" w:pos="1200"/>
                    </w:tabs>
                    <w:jc w:val="center"/>
                    <w:rPr>
                      <w:bCs/>
                      <w:color w:val="000000"/>
                      <w:sz w:val="21"/>
                    </w:rPr>
                  </w:pPr>
                  <w:r>
                    <w:rPr>
                      <w:bCs/>
                      <w:color w:val="000000"/>
                      <w:sz w:val="21"/>
                    </w:rPr>
                    <w:t>铅橡胶围裙、铅橡胶颈套、铅防护眼镜、介入防护手套</w:t>
                  </w:r>
                </w:p>
                <w:p>
                  <w:pPr>
                    <w:tabs>
                      <w:tab w:val="left" w:pos="1200"/>
                    </w:tabs>
                    <w:jc w:val="center"/>
                    <w:rPr>
                      <w:bCs/>
                      <w:color w:val="000000"/>
                      <w:sz w:val="21"/>
                    </w:rPr>
                  </w:pPr>
                  <w:r>
                    <w:rPr>
                      <w:bCs/>
                      <w:color w:val="000000"/>
                      <w:sz w:val="21"/>
                    </w:rPr>
                    <w:t>铅橡胶帽子</w:t>
                  </w:r>
                </w:p>
              </w:tc>
              <w:tc>
                <w:tcPr>
                  <w:tcW w:w="2412" w:type="dxa"/>
                  <w:vAlign w:val="center"/>
                </w:tcPr>
                <w:p>
                  <w:pPr>
                    <w:tabs>
                      <w:tab w:val="left" w:pos="1200"/>
                    </w:tabs>
                    <w:jc w:val="center"/>
                    <w:rPr>
                      <w:bCs/>
                      <w:color w:val="000000"/>
                      <w:sz w:val="21"/>
                    </w:rPr>
                  </w:pPr>
                  <w:r>
                    <w:rPr>
                      <w:bCs/>
                      <w:color w:val="000000"/>
                      <w:sz w:val="21"/>
                    </w:rPr>
                    <w:t>铅悬挂防护屏/铅防护吊帘/床侧防护屏/床侧防护帘</w:t>
                  </w:r>
                </w:p>
                <w:p>
                  <w:pPr>
                    <w:tabs>
                      <w:tab w:val="left" w:pos="1200"/>
                    </w:tabs>
                    <w:jc w:val="center"/>
                    <w:rPr>
                      <w:bCs/>
                      <w:color w:val="000000"/>
                      <w:sz w:val="21"/>
                    </w:rPr>
                  </w:pPr>
                  <w:r>
                    <w:rPr>
                      <w:bCs/>
                      <w:color w:val="000000"/>
                      <w:sz w:val="21"/>
                    </w:rPr>
                    <w:t>移动铅防护屏风</w:t>
                  </w:r>
                </w:p>
              </w:tc>
              <w:tc>
                <w:tcPr>
                  <w:tcW w:w="1951" w:type="dxa"/>
                  <w:vAlign w:val="center"/>
                </w:tcPr>
                <w:p>
                  <w:pPr>
                    <w:tabs>
                      <w:tab w:val="left" w:pos="1200"/>
                    </w:tabs>
                    <w:jc w:val="center"/>
                    <w:rPr>
                      <w:bCs/>
                      <w:color w:val="000000"/>
                      <w:sz w:val="21"/>
                    </w:rPr>
                  </w:pPr>
                  <w:r>
                    <w:rPr>
                      <w:bCs/>
                      <w:color w:val="000000"/>
                      <w:sz w:val="21"/>
                    </w:rPr>
                    <w:t>铅橡胶性腺防护围裙（方形）或方巾、铅橡胶颈套、</w:t>
                  </w:r>
                </w:p>
                <w:p>
                  <w:pPr>
                    <w:tabs>
                      <w:tab w:val="left" w:pos="1200"/>
                    </w:tabs>
                    <w:jc w:val="center"/>
                    <w:rPr>
                      <w:bCs/>
                      <w:color w:val="000000"/>
                      <w:sz w:val="21"/>
                    </w:rPr>
                  </w:pPr>
                  <w:r>
                    <w:rPr>
                      <w:bCs/>
                      <w:color w:val="000000"/>
                      <w:sz w:val="21"/>
                    </w:rPr>
                    <w:t>铅橡胶帽子</w:t>
                  </w:r>
                </w:p>
              </w:tc>
              <w:tc>
                <w:tcPr>
                  <w:tcW w:w="1659" w:type="dxa"/>
                  <w:vAlign w:val="center"/>
                </w:tcPr>
                <w:p>
                  <w:pPr>
                    <w:tabs>
                      <w:tab w:val="left" w:pos="1200"/>
                    </w:tabs>
                    <w:spacing w:line="460" w:lineRule="atLeast"/>
                    <w:jc w:val="center"/>
                    <w:rPr>
                      <w:bCs/>
                      <w:color w:val="000000"/>
                      <w:sz w:val="21"/>
                    </w:rPr>
                  </w:pPr>
                  <w:r>
                    <w:rPr>
                      <w:bCs/>
                      <w:color w:val="000000"/>
                      <w:sz w:val="21"/>
                    </w:rPr>
                    <w:t>不需要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026" w:type="dxa"/>
                  <w:gridSpan w:val="5"/>
                  <w:vAlign w:val="center"/>
                </w:tcPr>
                <w:p>
                  <w:pPr>
                    <w:widowControl/>
                    <w:jc w:val="left"/>
                    <w:rPr>
                      <w:bCs/>
                      <w:color w:val="000000"/>
                      <w:sz w:val="21"/>
                    </w:rPr>
                  </w:pPr>
                  <w:r>
                    <w:rPr>
                      <w:bCs/>
                      <w:color w:val="000000"/>
                      <w:sz w:val="18"/>
                      <w:szCs w:val="18"/>
                    </w:rPr>
                    <w:t>注：工作人员的个人防护用品和辅助防护设施的数量根据实际需求灵活调整</w:t>
                  </w:r>
                  <w:r>
                    <w:rPr>
                      <w:rFonts w:hint="eastAsia"/>
                      <w:bCs/>
                      <w:color w:val="000000"/>
                      <w:sz w:val="18"/>
                      <w:szCs w:val="18"/>
                    </w:rPr>
                    <w:t>，</w:t>
                  </w:r>
                  <w:r>
                    <w:rPr>
                      <w:rFonts w:hint="eastAsia" w:ascii="宋体" w:hAnsi="宋体" w:cs="宋体"/>
                      <w:color w:val="000000"/>
                      <w:kern w:val="0"/>
                      <w:sz w:val="18"/>
                      <w:szCs w:val="18"/>
                      <w:lang w:bidi="ar"/>
                    </w:rPr>
                    <w:t>应能满足使用要求</w:t>
                  </w:r>
                  <w:r>
                    <w:rPr>
                      <w:bCs/>
                      <w:color w:val="000000"/>
                      <w:sz w:val="18"/>
                      <w:szCs w:val="18"/>
                    </w:rPr>
                    <w:t>；成人和儿童患者或受检者的个人防护用品各1套。</w:t>
                  </w:r>
                </w:p>
              </w:tc>
            </w:tr>
          </w:tbl>
          <w:p>
            <w:pPr>
              <w:spacing w:line="360" w:lineRule="auto"/>
              <w:ind w:firstLine="480" w:firstLineChars="200"/>
              <w:rPr>
                <w:color w:val="000000"/>
              </w:rPr>
            </w:pPr>
            <w:bookmarkStart w:id="29" w:name="_Toc12048"/>
            <w:r>
              <w:rPr>
                <w:rFonts w:hint="eastAsia"/>
                <w:color w:val="000000"/>
              </w:rPr>
              <w:t>根据建设单位提供的资料，医院拟为辐射工作人员配备</w:t>
            </w:r>
            <w:r>
              <w:rPr>
                <w:color w:val="000000"/>
              </w:rPr>
              <w:t>5</w:t>
            </w:r>
            <w:r>
              <w:rPr>
                <w:rFonts w:hint="eastAsia"/>
                <w:color w:val="000000"/>
              </w:rPr>
              <w:t>套个人防护用品（包含铅衣、铅眼镜、铅围脖、铅方巾），并选配铅移动屏风防护用品1套。</w:t>
            </w:r>
          </w:p>
          <w:p>
            <w:pPr>
              <w:spacing w:line="360" w:lineRule="auto"/>
              <w:ind w:firstLine="480" w:firstLineChars="200"/>
              <w:rPr>
                <w:color w:val="000000"/>
              </w:rPr>
            </w:pPr>
            <w:r>
              <w:rPr>
                <w:rFonts w:hint="eastAsia"/>
                <w:color w:val="000000"/>
              </w:rPr>
              <w:t>建设单位还应按要求为患者配备铅当量不小于0.5mm的铅橡胶性腺防护围裙（方形）或方巾，为工作人员配备足量铅当量不小于0.025mm的介入防护手套。</w:t>
            </w:r>
          </w:p>
          <w:p>
            <w:pPr>
              <w:spacing w:line="360" w:lineRule="auto"/>
              <w:ind w:firstLine="480" w:firstLineChars="200"/>
              <w:rPr>
                <w:color w:val="000000"/>
              </w:rPr>
            </w:pPr>
            <w:r>
              <w:rPr>
                <w:rFonts w:hint="eastAsia"/>
                <w:color w:val="000000"/>
              </w:rPr>
              <w:t>防护用品和辅助防护设施的铅当量应不低于0.25mmPb，其中甲状腺、性腺防护用品的铅当量应不低于0.5mmPb；同时，还应为儿童的X射线检查配备保护相应组织和器官的防护用品，防护用品和辅助防护设施的铅当量应不低于0.5mmPb。</w:t>
            </w:r>
          </w:p>
          <w:p>
            <w:pPr>
              <w:spacing w:line="360" w:lineRule="auto"/>
              <w:ind w:firstLine="480" w:firstLineChars="200"/>
              <w:rPr>
                <w:color w:val="000000"/>
              </w:rPr>
            </w:pPr>
            <w:r>
              <w:rPr>
                <w:rFonts w:hint="eastAsia"/>
                <w:color w:val="000000"/>
              </w:rPr>
              <w:t>放射防护用品使用过程中，每年应至少自行检查一次，防止因老化断裂或损伤而降低防护质量，若发现老化、断裂或损伤应自行及时更换；防护用品宜采用平铺或悬挂的方式进行存放，不使用时，应妥善存放，不应折叠放置，防止断裂。</w:t>
            </w:r>
          </w:p>
          <w:p>
            <w:pPr>
              <w:spacing w:line="360" w:lineRule="auto"/>
              <w:ind w:firstLine="480" w:firstLineChars="200"/>
              <w:rPr>
                <w:color w:val="000000"/>
              </w:rPr>
            </w:pPr>
            <w:r>
              <w:rPr>
                <w:rFonts w:hint="eastAsia"/>
                <w:color w:val="000000"/>
              </w:rPr>
              <w:t>建议建立健全防护用品登记台账，台账中应明确防护用品购置时间、数量、铅当量和使用场所等信息。</w:t>
            </w:r>
          </w:p>
          <w:p>
            <w:pPr>
              <w:pStyle w:val="3"/>
              <w:rPr>
                <w:color w:val="000000"/>
                <w:sz w:val="28"/>
                <w:szCs w:val="28"/>
              </w:rPr>
            </w:pPr>
            <w:r>
              <w:rPr>
                <w:color w:val="000000"/>
                <w:sz w:val="28"/>
                <w:szCs w:val="28"/>
              </w:rPr>
              <w:t>10.5 “三废”的治理</w:t>
            </w:r>
            <w:bookmarkEnd w:id="29"/>
          </w:p>
          <w:p>
            <w:pPr>
              <w:pStyle w:val="11"/>
              <w:spacing w:line="360" w:lineRule="auto"/>
              <w:ind w:firstLine="480" w:firstLineChars="200"/>
              <w:jc w:val="both"/>
              <w:rPr>
                <w:color w:val="000000"/>
                <w:sz w:val="24"/>
                <w:szCs w:val="24"/>
              </w:rPr>
            </w:pPr>
            <w:r>
              <w:rPr>
                <w:rFonts w:hint="eastAsia"/>
                <w:color w:val="000000"/>
                <w:sz w:val="24"/>
                <w:szCs w:val="24"/>
              </w:rPr>
              <w:t>项目注入的造影剂不含放射性，设备在运行过程中不产生放射性“三废”。项目医护人员产生少量的生活污水及生活垃圾，统一纳入医院污水处理系统及生活垃圾清运系统。</w:t>
            </w:r>
          </w:p>
          <w:p>
            <w:pPr>
              <w:spacing w:line="360" w:lineRule="auto"/>
              <w:ind w:firstLine="482" w:firstLineChars="200"/>
              <w:rPr>
                <w:b/>
                <w:bCs/>
                <w:color w:val="000000"/>
              </w:rPr>
            </w:pPr>
            <w:r>
              <w:rPr>
                <w:b/>
                <w:bCs/>
                <w:color w:val="000000"/>
              </w:rPr>
              <w:t>10.5.1废水</w:t>
            </w:r>
          </w:p>
          <w:p>
            <w:pPr>
              <w:autoSpaceDE w:val="0"/>
              <w:autoSpaceDN w:val="0"/>
              <w:adjustRightInd w:val="0"/>
              <w:spacing w:line="360" w:lineRule="auto"/>
              <w:ind w:firstLine="504" w:firstLineChars="210"/>
              <w:jc w:val="left"/>
              <w:rPr>
                <w:color w:val="000000"/>
                <w:kern w:val="0"/>
              </w:rPr>
            </w:pPr>
            <w:r>
              <w:rPr>
                <w:color w:val="000000"/>
                <w:kern w:val="0"/>
              </w:rPr>
              <w:t>项目采用</w:t>
            </w:r>
            <w:r>
              <w:rPr>
                <w:color w:val="000000"/>
              </w:rPr>
              <w:t>先进的数字显影技术</w:t>
            </w:r>
            <w:r>
              <w:rPr>
                <w:color w:val="000000"/>
                <w:kern w:val="0"/>
              </w:rPr>
              <w:t>，无废显影液和定影液产生。</w:t>
            </w:r>
          </w:p>
          <w:p>
            <w:pPr>
              <w:spacing w:line="360" w:lineRule="auto"/>
              <w:ind w:firstLine="482" w:firstLineChars="200"/>
              <w:rPr>
                <w:color w:val="000000"/>
              </w:rPr>
            </w:pPr>
            <w:r>
              <w:rPr>
                <w:b/>
                <w:bCs/>
                <w:color w:val="000000"/>
              </w:rPr>
              <w:t>10.5.2废气</w:t>
            </w:r>
          </w:p>
          <w:p>
            <w:pPr>
              <w:spacing w:line="360" w:lineRule="auto"/>
              <w:ind w:firstLine="480" w:firstLineChars="200"/>
              <w:rPr>
                <w:color w:val="FF0000"/>
              </w:rPr>
            </w:pPr>
            <w:r>
              <w:rPr>
                <w:rFonts w:hint="eastAsia"/>
                <w:color w:val="000000"/>
                <w:kern w:val="0"/>
              </w:rPr>
              <w:t>数字减影血管造影机（DSA）</w:t>
            </w:r>
            <w:r>
              <w:rPr>
                <w:color w:val="000000"/>
              </w:rPr>
              <w:t>在开机并处于出束状态时，X射线与空气作用会产生极少量的臭氧、氮氧化物等有害气体</w:t>
            </w:r>
            <w:r>
              <w:rPr>
                <w:rFonts w:hint="eastAsia"/>
                <w:color w:val="000000"/>
              </w:rPr>
              <w:t>。</w:t>
            </w:r>
            <w:r>
              <w:rPr>
                <w:color w:val="000000"/>
              </w:rPr>
              <w:t>《放射诊断放射防护要求》（GBZ130-2020）要求：机房应设置动力通风装置，并保持良好的通</w:t>
            </w:r>
            <w:r>
              <w:t>风</w:t>
            </w:r>
            <w:r>
              <w:rPr>
                <w:rFonts w:hint="eastAsia"/>
              </w:rPr>
              <w:t>，通风示意图见图10-</w:t>
            </w:r>
            <w:r>
              <w:t>6</w:t>
            </w:r>
            <w:r>
              <w:rPr>
                <w:rFonts w:hint="eastAsia"/>
              </w:rPr>
              <w:t>。</w:t>
            </w:r>
          </w:p>
          <w:p>
            <w:pPr>
              <w:spacing w:line="360" w:lineRule="auto"/>
              <w:ind w:firstLine="480" w:firstLineChars="200"/>
              <w:rPr>
                <w:color w:val="000000"/>
              </w:rPr>
            </w:pPr>
            <w:r>
              <w:rPr>
                <w:rFonts w:hint="eastAsia"/>
                <w:color w:val="000000"/>
              </w:rPr>
              <w:t>本项目DSA手术室通风情况如下：</w:t>
            </w:r>
          </w:p>
          <w:p>
            <w:pPr>
              <w:pStyle w:val="2"/>
              <w:ind w:firstLine="480"/>
              <w:rPr>
                <w:rFonts w:eastAsia="宋体"/>
                <w:color w:val="000000" w:themeColor="text1"/>
                <w14:textFill>
                  <w14:solidFill>
                    <w14:schemeClr w14:val="tx1"/>
                  </w14:solidFill>
                </w14:textFill>
              </w:rPr>
            </w:pPr>
            <w:r>
              <w:drawing>
                <wp:anchor distT="0" distB="0" distL="114300" distR="114300" simplePos="0" relativeHeight="251673600" behindDoc="0" locked="0" layoutInCell="1" allowOverlap="1">
                  <wp:simplePos x="0" y="0"/>
                  <wp:positionH relativeFrom="column">
                    <wp:posOffset>-3810</wp:posOffset>
                  </wp:positionH>
                  <wp:positionV relativeFrom="paragraph">
                    <wp:posOffset>1276350</wp:posOffset>
                  </wp:positionV>
                  <wp:extent cx="5652770" cy="3541395"/>
                  <wp:effectExtent l="0" t="0" r="5080" b="1905"/>
                  <wp:wrapTopAndBottom/>
                  <wp:docPr id="19070914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91441"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652770" cy="3541395"/>
                          </a:xfrm>
                          <a:prstGeom prst="rect">
                            <a:avLst/>
                          </a:prstGeom>
                          <a:noFill/>
                          <a:ln>
                            <a:noFill/>
                          </a:ln>
                        </pic:spPr>
                      </pic:pic>
                    </a:graphicData>
                  </a:graphic>
                </wp:anchor>
              </w:drawing>
            </w:r>
            <w:r>
              <w:rPr>
                <w:rFonts w:hint="eastAsia" w:eastAsia="宋体"/>
                <w:color w:val="000000"/>
              </w:rPr>
              <w:t>根据建设方提供资料，本项目DSA手术室排风量</w:t>
            </w:r>
            <w:r>
              <w:rPr>
                <w:rFonts w:eastAsia="宋体"/>
                <w:color w:val="000000"/>
              </w:rPr>
              <w:t>1000m</w:t>
            </w:r>
            <w:r>
              <w:rPr>
                <w:rFonts w:eastAsia="宋体"/>
                <w:color w:val="000000"/>
                <w:vertAlign w:val="superscript"/>
              </w:rPr>
              <w:t>3</w:t>
            </w:r>
            <w:r>
              <w:rPr>
                <w:rFonts w:eastAsia="宋体"/>
                <w:color w:val="000000"/>
              </w:rPr>
              <w:t>/h</w:t>
            </w:r>
            <w:r>
              <w:rPr>
                <w:rFonts w:hint="eastAsia" w:eastAsia="宋体"/>
                <w:color w:val="000000"/>
              </w:rPr>
              <w:t>，换气次数为</w:t>
            </w:r>
            <w:r>
              <w:rPr>
                <w:rFonts w:eastAsia="宋体"/>
                <w:color w:val="000000"/>
              </w:rPr>
              <w:t>8</w:t>
            </w:r>
            <w:r>
              <w:rPr>
                <w:rFonts w:hint="eastAsia" w:eastAsia="宋体"/>
                <w:color w:val="000000"/>
              </w:rPr>
              <w:t>次/</w:t>
            </w:r>
            <w:r>
              <w:rPr>
                <w:rFonts w:eastAsia="宋体"/>
                <w:color w:val="000000"/>
              </w:rPr>
              <w:t>h</w:t>
            </w:r>
            <w:r>
              <w:rPr>
                <w:rFonts w:hint="eastAsia" w:eastAsia="宋体"/>
                <w:color w:val="000000"/>
              </w:rPr>
              <w:t>。</w:t>
            </w:r>
            <w:r>
              <w:rPr>
                <w:rFonts w:eastAsia="宋体"/>
                <w:color w:val="000000"/>
              </w:rPr>
              <w:t>本项目</w:t>
            </w:r>
            <w:r>
              <w:rPr>
                <w:rFonts w:hint="eastAsia" w:eastAsia="宋体"/>
                <w:color w:val="000000"/>
              </w:rPr>
              <w:t>DSA手术室采用一台卡式盘管空调送风，直接嵌入手术室顶部天花。</w:t>
            </w:r>
            <w:r>
              <w:rPr>
                <w:rFonts w:hint="eastAsia" w:eastAsia="宋体"/>
                <w:color w:val="000000" w:themeColor="text1"/>
                <w14:textFill>
                  <w14:solidFill>
                    <w14:schemeClr w14:val="tx1"/>
                  </w14:solidFill>
                </w14:textFill>
              </w:rPr>
              <w:t>在DSA手术室顶部天花设置一个排风口，</w:t>
            </w:r>
            <w:r>
              <w:rPr>
                <w:rFonts w:hint="eastAsia" w:eastAsia="宋体" w:cs="宋体"/>
                <w:color w:val="000000" w:themeColor="text1"/>
                <w14:textFill>
                  <w14:solidFill>
                    <w14:schemeClr w14:val="tx1"/>
                  </w14:solidFill>
                </w14:textFill>
              </w:rPr>
              <w:t>经排风管道</w:t>
            </w:r>
            <w:r>
              <w:rPr>
                <w:rFonts w:hint="eastAsia" w:eastAsia="宋体"/>
                <w:color w:val="000000" w:themeColor="text1"/>
                <w14:textFill>
                  <w14:solidFill>
                    <w14:schemeClr w14:val="tx1"/>
                  </w14:solidFill>
                </w14:textFill>
              </w:rPr>
              <w:t>连接至D</w:t>
            </w:r>
            <w:r>
              <w:rPr>
                <w:rFonts w:eastAsia="宋体"/>
                <w:color w:val="000000" w:themeColor="text1"/>
                <w14:textFill>
                  <w14:solidFill>
                    <w14:schemeClr w14:val="tx1"/>
                  </w14:solidFill>
                </w14:textFill>
              </w:rPr>
              <w:t>SA</w:t>
            </w:r>
            <w:r>
              <w:rPr>
                <w:rFonts w:hint="eastAsia" w:eastAsia="宋体"/>
                <w:color w:val="000000" w:themeColor="text1"/>
                <w14:textFill>
                  <w14:solidFill>
                    <w14:schemeClr w14:val="tx1"/>
                  </w14:solidFill>
                </w14:textFill>
              </w:rPr>
              <w:t>手术室南墙外部排口风，</w:t>
            </w:r>
            <w:r>
              <w:rPr>
                <w:rFonts w:hint="eastAsia" w:eastAsia="宋体" w:cs="宋体"/>
                <w:color w:val="000000" w:themeColor="text1"/>
                <w14:textFill>
                  <w14:solidFill>
                    <w14:schemeClr w14:val="tx1"/>
                  </w14:solidFill>
                </w14:textFill>
              </w:rPr>
              <w:t>经外部排风口</w:t>
            </w:r>
            <w:r>
              <w:rPr>
                <w:rFonts w:hint="eastAsia" w:eastAsia="宋体"/>
                <w:color w:val="000000" w:themeColor="text1"/>
                <w14:textFill>
                  <w14:solidFill>
                    <w14:schemeClr w14:val="tx1"/>
                  </w14:solidFill>
                </w14:textFill>
              </w:rPr>
              <w:t>排至</w:t>
            </w:r>
            <w:r>
              <w:rPr>
                <w:rFonts w:hint="eastAsia" w:eastAsia="宋体" w:cs="宋体"/>
                <w:color w:val="000000" w:themeColor="text1"/>
                <w14:textFill>
                  <w14:solidFill>
                    <w14:schemeClr w14:val="tx1"/>
                  </w14:solidFill>
                </w14:textFill>
              </w:rPr>
              <w:t>室外，外部排风口采用2</w:t>
            </w:r>
            <w:r>
              <w:rPr>
                <w:rFonts w:eastAsia="宋体" w:cs="宋体"/>
                <w:color w:val="000000" w:themeColor="text1"/>
                <w14:textFill>
                  <w14:solidFill>
                    <w14:schemeClr w14:val="tx1"/>
                  </w14:solidFill>
                </w14:textFill>
              </w:rPr>
              <w:t>50*200mm</w:t>
            </w:r>
            <w:r>
              <w:rPr>
                <w:rFonts w:hint="eastAsia" w:eastAsia="宋体" w:cs="宋体"/>
                <w:color w:val="000000" w:themeColor="text1"/>
                <w14:textFill>
                  <w14:solidFill>
                    <w14:schemeClr w14:val="tx1"/>
                  </w14:solidFill>
                </w14:textFill>
              </w:rPr>
              <w:t>防雨铅百叶进行防护。</w:t>
            </w:r>
          </w:p>
          <w:p>
            <w:pPr>
              <w:adjustRightInd w:val="0"/>
              <w:snapToGrid w:val="0"/>
              <w:spacing w:line="360" w:lineRule="auto"/>
              <w:ind w:firstLine="466" w:firstLineChars="200"/>
              <w:jc w:val="center"/>
              <w:rPr>
                <w:rFonts w:eastAsia="黑体"/>
                <w:b/>
                <w:bCs/>
                <w:spacing w:val="-4"/>
              </w:rPr>
            </w:pPr>
            <w:r>
              <w:rPr>
                <w:rFonts w:eastAsia="黑体"/>
                <w:b/>
                <w:bCs/>
                <w:spacing w:val="-4"/>
              </w:rPr>
              <w:t xml:space="preserve">图10-6  </w:t>
            </w:r>
            <w:r>
              <w:rPr>
                <w:rFonts w:hint="eastAsia" w:eastAsia="黑体"/>
                <w:b/>
                <w:bCs/>
                <w:spacing w:val="-4"/>
              </w:rPr>
              <w:t>DSA手术室通排风口位置及管道布局图</w:t>
            </w:r>
          </w:p>
          <w:p>
            <w:pPr>
              <w:autoSpaceDE w:val="0"/>
              <w:autoSpaceDN w:val="0"/>
              <w:adjustRightInd w:val="0"/>
              <w:spacing w:line="360" w:lineRule="auto"/>
              <w:ind w:firstLine="480" w:firstLineChars="200"/>
            </w:pPr>
            <w:r>
              <w:t>本项目</w:t>
            </w:r>
            <w:r>
              <w:rPr>
                <w:rFonts w:hint="eastAsia"/>
              </w:rPr>
              <w:t>DSA手术室通风设施能够满足</w:t>
            </w:r>
            <w:r>
              <w:t>《放射诊断放射防护要求》（GBZ130-2020）</w:t>
            </w:r>
            <w:r>
              <w:rPr>
                <w:rFonts w:hint="eastAsia"/>
              </w:rPr>
              <w:t>中“</w:t>
            </w:r>
            <w:r>
              <w:t>机房应设置动力通风装置，并保持良好的通风</w:t>
            </w:r>
            <w:r>
              <w:rPr>
                <w:rFonts w:hint="eastAsia"/>
              </w:rPr>
              <w:t>”的要求。</w:t>
            </w:r>
          </w:p>
          <w:p>
            <w:pPr>
              <w:spacing w:line="360" w:lineRule="auto"/>
              <w:ind w:firstLine="482" w:firstLineChars="200"/>
              <w:rPr>
                <w:color w:val="000000"/>
              </w:rPr>
            </w:pPr>
            <w:r>
              <w:rPr>
                <w:b/>
                <w:bCs/>
                <w:color w:val="000000"/>
              </w:rPr>
              <w:t>10.5.3固体废物</w:t>
            </w:r>
          </w:p>
          <w:p>
            <w:pPr>
              <w:pStyle w:val="11"/>
              <w:snapToGrid/>
              <w:spacing w:line="360" w:lineRule="auto"/>
              <w:ind w:firstLine="480" w:firstLineChars="200"/>
              <w:jc w:val="both"/>
              <w:rPr>
                <w:color w:val="000000"/>
                <w:sz w:val="24"/>
                <w:szCs w:val="24"/>
              </w:rPr>
            </w:pPr>
            <w:r>
              <w:rPr>
                <w:color w:val="000000"/>
                <w:sz w:val="24"/>
                <w:szCs w:val="24"/>
              </w:rPr>
              <w:t>项目采用先进的数字显影技术，不会产生废胶片。</w:t>
            </w:r>
            <w:r>
              <w:rPr>
                <w:color w:val="000000"/>
                <w:kern w:val="0"/>
                <w:sz w:val="24"/>
                <w:szCs w:val="24"/>
              </w:rPr>
              <w:t>介入手术时产生的医用器具和药棉、纱布、手套等医疗废物，</w:t>
            </w:r>
            <w:r>
              <w:rPr>
                <w:color w:val="000000"/>
                <w:sz w:val="24"/>
                <w:szCs w:val="24"/>
              </w:rPr>
              <w:t>在手术室</w:t>
            </w:r>
            <w:r>
              <w:rPr>
                <w:rFonts w:hint="eastAsia"/>
                <w:color w:val="000000"/>
                <w:sz w:val="24"/>
                <w:szCs w:val="24"/>
              </w:rPr>
              <w:t>均</w:t>
            </w:r>
            <w:r>
              <w:rPr>
                <w:color w:val="000000"/>
                <w:sz w:val="24"/>
                <w:szCs w:val="24"/>
              </w:rPr>
              <w:t>由专用包装袋、容器分类收集</w:t>
            </w:r>
            <w:r>
              <w:rPr>
                <w:rFonts w:hint="eastAsia"/>
                <w:color w:val="000000"/>
                <w:sz w:val="24"/>
                <w:szCs w:val="24"/>
              </w:rPr>
              <w:t>。</w:t>
            </w:r>
          </w:p>
          <w:p>
            <w:pPr>
              <w:autoSpaceDE w:val="0"/>
              <w:autoSpaceDN w:val="0"/>
              <w:adjustRightInd w:val="0"/>
              <w:spacing w:line="360" w:lineRule="auto"/>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DSA手术室收集的医疗废物经西侧进入</w:t>
            </w:r>
            <w:r>
              <w:rPr>
                <w:color w:val="000000" w:themeColor="text1"/>
                <w14:textFill>
                  <w14:solidFill>
                    <w14:schemeClr w14:val="tx1"/>
                  </w14:solidFill>
                </w14:textFill>
              </w:rPr>
              <w:t>污物间，</w:t>
            </w:r>
            <w:r>
              <w:rPr>
                <w:rFonts w:hint="eastAsia"/>
                <w:color w:val="000000" w:themeColor="text1"/>
                <w14:textFill>
                  <w14:solidFill>
                    <w14:schemeClr w14:val="tx1"/>
                  </w14:solidFill>
                </w14:textFill>
              </w:rPr>
              <w:t>委托有资质单位对医院的医疗废物进行集中处理。</w:t>
            </w:r>
          </w:p>
          <w:p>
            <w:pPr>
              <w:pStyle w:val="2"/>
              <w:ind w:firstLine="480"/>
              <w:rPr>
                <w:rFonts w:eastAsiaTheme="minorEastAsia"/>
              </w:rPr>
            </w:pPr>
          </w:p>
        </w:tc>
      </w:tr>
    </w:tbl>
    <w:p>
      <w:pPr>
        <w:pStyle w:val="3"/>
        <w:rPr>
          <w:b w:val="0"/>
          <w:bCs w:val="0"/>
          <w:color w:val="000000"/>
          <w:sz w:val="28"/>
          <w:szCs w:val="28"/>
        </w:rPr>
      </w:pPr>
      <w:bookmarkStart w:id="30" w:name="_Toc501805943"/>
      <w:r>
        <w:rPr>
          <w:b w:val="0"/>
          <w:bCs w:val="0"/>
          <w:color w:val="000000"/>
        </w:rPr>
        <w:br w:type="page"/>
      </w:r>
      <w:bookmarkStart w:id="31" w:name="_Toc1077"/>
      <w:r>
        <w:rPr>
          <w:color w:val="000000"/>
          <w:sz w:val="28"/>
          <w:szCs w:val="28"/>
        </w:rPr>
        <w:t>表11 环境影响分析</w:t>
      </w:r>
      <w:bookmarkEnd w:id="30"/>
      <w:bookmarkEnd w:id="31"/>
    </w:p>
    <w:tbl>
      <w:tblPr>
        <w:tblStyle w:val="16"/>
        <w:tblW w:w="8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6" w:hRule="atLeast"/>
          <w:jc w:val="center"/>
        </w:trPr>
        <w:tc>
          <w:tcPr>
            <w:tcW w:w="8707" w:type="dxa"/>
          </w:tcPr>
          <w:p>
            <w:pPr>
              <w:spacing w:line="360" w:lineRule="auto"/>
              <w:ind w:right="85"/>
              <w:rPr>
                <w:b/>
                <w:color w:val="000000"/>
                <w:sz w:val="28"/>
                <w:szCs w:val="28"/>
              </w:rPr>
            </w:pPr>
            <w:r>
              <w:rPr>
                <w:b/>
                <w:bCs/>
                <w:color w:val="000000"/>
                <w:sz w:val="28"/>
                <w:szCs w:val="28"/>
              </w:rPr>
              <w:t>11.1 建设阶段对环境的影响</w:t>
            </w:r>
          </w:p>
          <w:p>
            <w:pPr>
              <w:pStyle w:val="2"/>
              <w:ind w:firstLine="480"/>
              <w:rPr>
                <w:rFonts w:eastAsia="宋体"/>
                <w:color w:val="000000"/>
              </w:rPr>
            </w:pPr>
            <w:r>
              <w:rPr>
                <w:rFonts w:hint="eastAsia" w:eastAsia="宋体"/>
                <w:color w:val="000000"/>
              </w:rPr>
              <w:t>本项目</w:t>
            </w:r>
            <w:r>
              <w:rPr>
                <w:rFonts w:hint="eastAsia"/>
                <w:color w:val="000000"/>
                <w:kern w:val="0"/>
              </w:rPr>
              <w:t>数字减影血管造影机（DSA）</w:t>
            </w:r>
            <w:r>
              <w:rPr>
                <w:rFonts w:hint="eastAsia" w:eastAsia="宋体"/>
                <w:color w:val="000000"/>
              </w:rPr>
              <w:t>安装前，需进行装修。装修过程中，对周围环境影响主要有：施工噪声影响、扬尘影响、建筑垃圾影响；施工期可采取主要污染防治措施如下：</w:t>
            </w:r>
          </w:p>
          <w:p>
            <w:pPr>
              <w:pStyle w:val="2"/>
              <w:ind w:firstLine="480"/>
              <w:rPr>
                <w:rFonts w:eastAsia="宋体"/>
                <w:color w:val="000000"/>
              </w:rPr>
            </w:pPr>
            <w:r>
              <w:rPr>
                <w:rFonts w:hint="eastAsia" w:eastAsia="宋体"/>
                <w:color w:val="000000"/>
              </w:rPr>
              <w:t>（1）本项目在施工时会产生粉尘，因此在施工时应采取洒水措施，保持机房场地一定的湿度，及时清扫施工场地，通过采取上述措施，从而降低粉尘对周围环境的影响。</w:t>
            </w:r>
          </w:p>
          <w:p>
            <w:pPr>
              <w:pStyle w:val="2"/>
              <w:ind w:firstLine="480"/>
              <w:rPr>
                <w:rFonts w:eastAsia="宋体"/>
                <w:color w:val="000000"/>
              </w:rPr>
            </w:pPr>
            <w:r>
              <w:rPr>
                <w:rFonts w:hint="eastAsia" w:eastAsia="宋体"/>
                <w:color w:val="000000"/>
              </w:rPr>
              <w:t>（2）施工现场应该选用低噪音设备，尽量缩小噪声干扰范围，合理安排作业时间，禁止夜间进行有强噪声污染的施工作业。</w:t>
            </w:r>
          </w:p>
          <w:p>
            <w:pPr>
              <w:pStyle w:val="2"/>
              <w:ind w:firstLine="480"/>
              <w:rPr>
                <w:rFonts w:eastAsia="宋体"/>
                <w:color w:val="000000"/>
              </w:rPr>
            </w:pPr>
            <w:r>
              <w:rPr>
                <w:rFonts w:hint="eastAsia" w:eastAsia="宋体"/>
                <w:color w:val="000000"/>
              </w:rPr>
              <w:t>（3）施工期间的生活污水依托医院污水处理设施进行处理。</w:t>
            </w:r>
          </w:p>
          <w:p>
            <w:pPr>
              <w:pStyle w:val="2"/>
              <w:ind w:firstLine="480"/>
              <w:rPr>
                <w:rFonts w:eastAsia="宋体"/>
                <w:color w:val="000000"/>
              </w:rPr>
            </w:pPr>
            <w:r>
              <w:rPr>
                <w:rFonts w:hint="eastAsia" w:eastAsia="宋体"/>
                <w:color w:val="000000"/>
              </w:rPr>
              <w:t>（4）本项目施工垃圾主要是一些废弃钢结构材料、砖块及混凝土等，分类收集后堆放于指定地点，其中可回收利用部分进行回收利用，不可回收部分收集后送当地建筑垃圾填埋场，严禁随意丢弃。通过上述措施后，该项目产生的施工垃圾可得到合理的处置，对周边环境影响较小。</w:t>
            </w:r>
          </w:p>
          <w:p>
            <w:pPr>
              <w:spacing w:line="360" w:lineRule="auto"/>
              <w:ind w:right="85" w:firstLine="480" w:firstLineChars="200"/>
              <w:rPr>
                <w:color w:val="000000"/>
              </w:rPr>
            </w:pPr>
            <w:r>
              <w:rPr>
                <w:rFonts w:hint="eastAsia"/>
                <w:color w:val="000000"/>
              </w:rPr>
              <w:t>综上所述，在施工阶段采取上述污染防治措施后，施工期的影响可控制在医院内局部区域，对周围环境影响较小。</w:t>
            </w:r>
          </w:p>
          <w:p>
            <w:pPr>
              <w:spacing w:line="360" w:lineRule="auto"/>
              <w:ind w:right="85"/>
              <w:rPr>
                <w:b/>
                <w:bCs/>
                <w:color w:val="000000"/>
                <w:sz w:val="28"/>
                <w:szCs w:val="28"/>
              </w:rPr>
            </w:pPr>
            <w:r>
              <w:rPr>
                <w:b/>
                <w:bCs/>
                <w:color w:val="000000"/>
                <w:sz w:val="28"/>
                <w:szCs w:val="28"/>
              </w:rPr>
              <w:t xml:space="preserve">11.2 </w:t>
            </w:r>
            <w:r>
              <w:rPr>
                <w:rFonts w:hint="eastAsia"/>
                <w:b/>
                <w:bCs/>
                <w:color w:val="000000"/>
                <w:sz w:val="28"/>
                <w:szCs w:val="28"/>
              </w:rPr>
              <w:t>辐射屏蔽能力分析</w:t>
            </w:r>
          </w:p>
          <w:p>
            <w:pPr>
              <w:spacing w:line="360" w:lineRule="auto"/>
              <w:ind w:firstLine="480" w:firstLineChars="200"/>
              <w:rPr>
                <w:bCs/>
                <w:color w:val="000000"/>
              </w:rPr>
            </w:pPr>
            <w:r>
              <w:rPr>
                <w:bCs/>
                <w:color w:val="000000"/>
              </w:rPr>
              <w:t>根据建设单位提供的资料，本项目</w:t>
            </w:r>
            <w:r>
              <w:rPr>
                <w:color w:val="000000"/>
              </w:rPr>
              <w:t>DSA手术室尺寸为长</w:t>
            </w:r>
            <w:r>
              <w:rPr>
                <w:rFonts w:hint="eastAsia"/>
                <w:color w:val="000000"/>
              </w:rPr>
              <w:t>7</w:t>
            </w:r>
            <w:r>
              <w:rPr>
                <w:color w:val="000000"/>
              </w:rPr>
              <w:t>.30m×宽</w:t>
            </w:r>
            <w:r>
              <w:rPr>
                <w:rFonts w:hint="eastAsia"/>
                <w:color w:val="000000"/>
              </w:rPr>
              <w:t>5</w:t>
            </w:r>
            <w:r>
              <w:rPr>
                <w:color w:val="000000"/>
              </w:rPr>
              <w:t>.44m，有效使用面积</w:t>
            </w:r>
            <w:r>
              <w:rPr>
                <w:rFonts w:hint="eastAsia"/>
                <w:color w:val="000000"/>
              </w:rPr>
              <w:t>3</w:t>
            </w:r>
            <w:r>
              <w:rPr>
                <w:color w:val="000000"/>
              </w:rPr>
              <w:t>9.71m</w:t>
            </w:r>
            <w:r>
              <w:rPr>
                <w:color w:val="000000"/>
                <w:vertAlign w:val="superscript"/>
              </w:rPr>
              <w:t>2</w:t>
            </w:r>
            <w:r>
              <w:rPr>
                <w:rFonts w:hint="eastAsia"/>
                <w:color w:val="000000"/>
              </w:rPr>
              <w:t>。</w:t>
            </w:r>
            <w:r>
              <w:rPr>
                <w:bCs/>
                <w:color w:val="000000"/>
              </w:rPr>
              <w:t>满足《放射诊断放射防护要求》（GBZ130-2020）的规定：机房内最小有效使用面积＞20m</w:t>
            </w:r>
            <w:r>
              <w:rPr>
                <w:bCs/>
                <w:color w:val="000000"/>
                <w:vertAlign w:val="superscript"/>
              </w:rPr>
              <w:t>2</w:t>
            </w:r>
            <w:r>
              <w:rPr>
                <w:bCs/>
                <w:color w:val="000000"/>
              </w:rPr>
              <w:t>，机房内最小单边长度＞3.5m。</w:t>
            </w:r>
          </w:p>
          <w:p>
            <w:pPr>
              <w:spacing w:line="360" w:lineRule="auto"/>
              <w:ind w:firstLine="480" w:firstLineChars="200"/>
              <w:rPr>
                <w:bCs/>
                <w:color w:val="000000"/>
              </w:rPr>
            </w:pPr>
            <w:r>
              <w:rPr>
                <w:rFonts w:hint="eastAsia"/>
                <w:bCs/>
                <w:color w:val="000000"/>
              </w:rPr>
              <w:t>手术室</w:t>
            </w:r>
            <w:r>
              <w:rPr>
                <w:bCs/>
                <w:color w:val="000000"/>
              </w:rPr>
              <w:t>屏蔽设计参数见表10-1。由表可知，DSA手术室防护设计满足《放射诊断放射防护要求》（GBZ130-2020）的规定：有用线束方向铅当量2mm，非有用线束方向铅当量2mm。</w:t>
            </w:r>
          </w:p>
          <w:p>
            <w:pPr>
              <w:spacing w:line="360" w:lineRule="auto"/>
              <w:ind w:firstLine="480" w:firstLineChars="200"/>
              <w:rPr>
                <w:bCs/>
                <w:color w:val="000000"/>
              </w:rPr>
            </w:pPr>
            <w:r>
              <w:rPr>
                <w:bCs/>
                <w:color w:val="000000"/>
              </w:rPr>
              <w:t>由于X射线装置辐射源强度与距离平方成反比、与屏蔽材料厚度成指数衰减关系，结合本项目</w:t>
            </w:r>
            <w:r>
              <w:rPr>
                <w:rFonts w:hint="eastAsia"/>
                <w:bCs/>
                <w:color w:val="000000"/>
              </w:rPr>
              <w:t>手术室</w:t>
            </w:r>
            <w:r>
              <w:rPr>
                <w:bCs/>
                <w:color w:val="000000"/>
              </w:rPr>
              <w:t>最小使用面积、最小单边长度和屏蔽墙体设计厚度、防护门设计厚度均已满足《放射诊断放射防护要求》（GBZ130-2020）标准相关要求，可以推断本项目</w:t>
            </w:r>
            <w:r>
              <w:rPr>
                <w:rFonts w:hint="eastAsia"/>
                <w:color w:val="000000"/>
                <w:kern w:val="0"/>
              </w:rPr>
              <w:t>数字减影血管造影机（DSA）</w:t>
            </w:r>
            <w:r>
              <w:rPr>
                <w:rFonts w:hint="eastAsia"/>
                <w:bCs/>
                <w:color w:val="000000"/>
              </w:rPr>
              <w:t>透视</w:t>
            </w:r>
            <w:r>
              <w:rPr>
                <w:bCs/>
                <w:color w:val="000000"/>
              </w:rPr>
              <w:t>状态下，其</w:t>
            </w:r>
            <w:r>
              <w:rPr>
                <w:rFonts w:hint="eastAsia"/>
                <w:bCs/>
                <w:color w:val="000000"/>
              </w:rPr>
              <w:t>手术室</w:t>
            </w:r>
            <w:r>
              <w:rPr>
                <w:bCs/>
                <w:color w:val="000000"/>
              </w:rPr>
              <w:t>屏蔽墙体以及防护门外表面30cm处辐射剂量率可以满足2.5μSv/h限值要求。</w:t>
            </w:r>
          </w:p>
          <w:p>
            <w:pPr>
              <w:spacing w:line="360" w:lineRule="auto"/>
              <w:ind w:right="85"/>
              <w:rPr>
                <w:b/>
                <w:bCs/>
                <w:color w:val="000000"/>
                <w:sz w:val="28"/>
                <w:szCs w:val="28"/>
              </w:rPr>
            </w:pPr>
            <w:r>
              <w:rPr>
                <w:b/>
                <w:bCs/>
                <w:color w:val="000000"/>
                <w:sz w:val="28"/>
                <w:szCs w:val="28"/>
              </w:rPr>
              <w:t>11.3 运行阶段对环境的影响</w:t>
            </w:r>
          </w:p>
          <w:p>
            <w:pPr>
              <w:spacing w:line="360" w:lineRule="auto"/>
              <w:ind w:firstLine="480" w:firstLineChars="200"/>
              <w:rPr>
                <w:bCs/>
                <w:kern w:val="44"/>
                <w:szCs w:val="44"/>
              </w:rPr>
            </w:pPr>
            <w:r>
              <w:rPr>
                <w:rFonts w:hint="eastAsia"/>
                <w:bCs/>
                <w:color w:val="000000"/>
              </w:rPr>
              <w:t>本项目拟采用的DSA设备型号为通用</w:t>
            </w:r>
            <w:r>
              <w:rPr>
                <w:bCs/>
                <w:color w:val="000000"/>
              </w:rPr>
              <w:t>IGS venus</w:t>
            </w:r>
            <w:r>
              <w:rPr>
                <w:rFonts w:hint="eastAsia"/>
                <w:bCs/>
                <w:color w:val="000000"/>
              </w:rPr>
              <w:t>，最大管电压为125kV，最大管电流为1000mA。DSA包括透视和采集两种工作模式，在实际使用过程中，透视、采集状态下管电压一般控制在90kV以下。本次从保守角度考虑，取DSA设备最大管电压125kV。</w:t>
            </w:r>
          </w:p>
          <w:p>
            <w:pPr>
              <w:adjustRightInd w:val="0"/>
              <w:spacing w:line="360" w:lineRule="auto"/>
              <w:ind w:firstLine="480" w:firstLineChars="200"/>
              <w:rPr>
                <w:bCs/>
                <w:color w:val="000000" w:themeColor="text1"/>
                <w14:textFill>
                  <w14:solidFill>
                    <w14:schemeClr w14:val="tx1"/>
                  </w14:solidFill>
                </w14:textFill>
              </w:rPr>
            </w:pPr>
            <w:r>
              <w:rPr>
                <w:rFonts w:hint="eastAsia"/>
                <w:bCs/>
                <w:color w:val="000000"/>
              </w:rPr>
              <w:t>根据ICRP 33《医用外照射源的辐射防护》P55图2，在X射线管管电压125 kV时，2mmAl滤过下，离靶1m处的剂量率约为11mGy/mA•min。</w:t>
            </w:r>
            <w:r>
              <w:rPr>
                <w:rFonts w:hint="eastAsia"/>
                <w:bCs/>
              </w:rPr>
              <w:t>根据厂家提供的参数，D</w:t>
            </w:r>
            <w:r>
              <w:rPr>
                <w:bCs/>
              </w:rPr>
              <w:t>SA</w:t>
            </w:r>
            <w:r>
              <w:rPr>
                <w:rFonts w:hint="eastAsia"/>
                <w:bCs/>
                <w:color w:val="000000" w:themeColor="text1"/>
                <w14:textFill>
                  <w14:solidFill>
                    <w14:schemeClr w14:val="tx1"/>
                  </w14:solidFill>
                </w14:textFill>
              </w:rPr>
              <w:t>设备连续透视工作负荷为3</w:t>
            </w:r>
            <w:r>
              <w:rPr>
                <w:bCs/>
                <w:color w:val="000000" w:themeColor="text1"/>
                <w14:textFill>
                  <w14:solidFill>
                    <w14:schemeClr w14:val="tx1"/>
                  </w14:solidFill>
                </w14:textFill>
              </w:rPr>
              <w:t>.2</w:t>
            </w:r>
            <w:r>
              <w:rPr>
                <w:rFonts w:hint="eastAsia"/>
                <w:bCs/>
                <w:color w:val="000000" w:themeColor="text1"/>
                <w14:textFill>
                  <w14:solidFill>
                    <w14:schemeClr w14:val="tx1"/>
                  </w14:solidFill>
                </w14:textFill>
              </w:rPr>
              <w:t>kW，由计算得透视时最大管电压下最大管电流为3</w:t>
            </w:r>
            <w:r>
              <w:rPr>
                <w:bCs/>
                <w:color w:val="000000" w:themeColor="text1"/>
                <w14:textFill>
                  <w14:solidFill>
                    <w14:schemeClr w14:val="tx1"/>
                  </w14:solidFill>
                </w14:textFill>
              </w:rPr>
              <w:t>.2</w:t>
            </w:r>
            <w:r>
              <w:rPr>
                <w:rFonts w:hint="eastAsia"/>
                <w:bCs/>
                <w:color w:val="000000" w:themeColor="text1"/>
                <w14:textFill>
                  <w14:solidFill>
                    <w14:schemeClr w14:val="tx1"/>
                  </w14:solidFill>
                </w14:textFill>
              </w:rPr>
              <w:t>kW÷125kV=</w:t>
            </w:r>
            <w:r>
              <w:rPr>
                <w:bCs/>
                <w:color w:val="000000" w:themeColor="text1"/>
                <w14:textFill>
                  <w14:solidFill>
                    <w14:schemeClr w14:val="tx1"/>
                  </w14:solidFill>
                </w14:textFill>
              </w:rPr>
              <w:t>25.6</w:t>
            </w:r>
            <w:r>
              <w:rPr>
                <w:rFonts w:hint="eastAsia"/>
                <w:bCs/>
                <w:color w:val="000000" w:themeColor="text1"/>
                <w14:textFill>
                  <w14:solidFill>
                    <w14:schemeClr w14:val="tx1"/>
                  </w14:solidFill>
                </w14:textFill>
              </w:rPr>
              <w:t>mA，采集时最大电功率为</w:t>
            </w:r>
            <w:r>
              <w:rPr>
                <w:bCs/>
                <w:color w:val="000000" w:themeColor="text1"/>
                <w14:textFill>
                  <w14:solidFill>
                    <w14:schemeClr w14:val="tx1"/>
                  </w14:solidFill>
                </w14:textFill>
              </w:rPr>
              <w:t>100</w:t>
            </w:r>
            <w:r>
              <w:rPr>
                <w:rFonts w:hint="eastAsia"/>
                <w:bCs/>
                <w:color w:val="000000" w:themeColor="text1"/>
                <w14:textFill>
                  <w14:solidFill>
                    <w14:schemeClr w14:val="tx1"/>
                  </w14:solidFill>
                </w14:textFill>
              </w:rPr>
              <w:t>kW，则最大管电压下最大管电流为1</w:t>
            </w:r>
            <w:r>
              <w:rPr>
                <w:bCs/>
                <w:color w:val="000000" w:themeColor="text1"/>
                <w14:textFill>
                  <w14:solidFill>
                    <w14:schemeClr w14:val="tx1"/>
                  </w14:solidFill>
                </w14:textFill>
              </w:rPr>
              <w:t>00</w:t>
            </w:r>
            <w:r>
              <w:rPr>
                <w:rFonts w:hint="eastAsia"/>
                <w:bCs/>
                <w:color w:val="000000" w:themeColor="text1"/>
                <w14:textFill>
                  <w14:solidFill>
                    <w14:schemeClr w14:val="tx1"/>
                  </w14:solidFill>
                </w14:textFill>
              </w:rPr>
              <w:t>kW÷125kV=</w:t>
            </w:r>
            <w:r>
              <w:rPr>
                <w:bCs/>
                <w:color w:val="000000" w:themeColor="text1"/>
                <w14:textFill>
                  <w14:solidFill>
                    <w14:schemeClr w14:val="tx1"/>
                  </w14:solidFill>
                </w14:textFill>
              </w:rPr>
              <w:t>800</w:t>
            </w:r>
            <w:r>
              <w:rPr>
                <w:rFonts w:hint="eastAsia"/>
                <w:bCs/>
                <w:color w:val="000000" w:themeColor="text1"/>
                <w14:textFill>
                  <w14:solidFill>
                    <w14:schemeClr w14:val="tx1"/>
                  </w14:solidFill>
                </w14:textFill>
              </w:rPr>
              <w:t>mA。因此本项目DSA透视、采集状态下管电流最大不会超过2</w:t>
            </w:r>
            <w:r>
              <w:rPr>
                <w:bCs/>
                <w:color w:val="000000" w:themeColor="text1"/>
                <w14:textFill>
                  <w14:solidFill>
                    <w14:schemeClr w14:val="tx1"/>
                  </w14:solidFill>
                </w14:textFill>
              </w:rPr>
              <w:t>5.6</w:t>
            </w:r>
            <w:r>
              <w:rPr>
                <w:rFonts w:hint="eastAsia"/>
                <w:bCs/>
                <w:color w:val="000000" w:themeColor="text1"/>
                <w14:textFill>
                  <w14:solidFill>
                    <w14:schemeClr w14:val="tx1"/>
                  </w14:solidFill>
                </w14:textFill>
              </w:rPr>
              <w:t>mA、8</w:t>
            </w:r>
            <w:r>
              <w:rPr>
                <w:bCs/>
                <w:color w:val="000000" w:themeColor="text1"/>
                <w14:textFill>
                  <w14:solidFill>
                    <w14:schemeClr w14:val="tx1"/>
                  </w14:solidFill>
                </w14:textFill>
              </w:rPr>
              <w:t>00</w:t>
            </w:r>
            <w:r>
              <w:rPr>
                <w:rFonts w:hint="eastAsia"/>
                <w:bCs/>
                <w:color w:val="000000" w:themeColor="text1"/>
                <w14:textFill>
                  <w14:solidFill>
                    <w14:schemeClr w14:val="tx1"/>
                  </w14:solidFill>
                </w14:textFill>
              </w:rPr>
              <w:t>mA。则计算出DSA透视距</w:t>
            </w:r>
            <w:r>
              <w:rPr>
                <w:rFonts w:hint="eastAsia"/>
                <w:bCs/>
              </w:rPr>
              <w:t>靶点1m处的最大剂量率为1</w:t>
            </w:r>
            <w:r>
              <w:rPr>
                <w:bCs/>
              </w:rPr>
              <w:t>.69</w:t>
            </w:r>
            <w:r>
              <w:rPr>
                <w:rFonts w:hint="eastAsia"/>
                <w:bCs/>
              </w:rPr>
              <w:t>×10</w:t>
            </w:r>
            <w:r>
              <w:rPr>
                <w:rFonts w:hint="eastAsia"/>
                <w:bCs/>
                <w:vertAlign w:val="superscript"/>
              </w:rPr>
              <w:t>7</w:t>
            </w:r>
            <w:r>
              <w:rPr>
                <w:rFonts w:hint="eastAsia"/>
                <w:bCs/>
              </w:rPr>
              <w:t>µGy/h；DSA采集时距靶点1m处的最大剂量率为5</w:t>
            </w:r>
            <w:r>
              <w:rPr>
                <w:bCs/>
              </w:rPr>
              <w:t>.28</w:t>
            </w:r>
            <w:r>
              <w:rPr>
                <w:rFonts w:hint="eastAsia"/>
                <w:bCs/>
              </w:rPr>
              <w:t>×10</w:t>
            </w:r>
            <w:r>
              <w:rPr>
                <w:rFonts w:hint="eastAsia"/>
                <w:bCs/>
                <w:vertAlign w:val="superscript"/>
              </w:rPr>
              <w:t>8</w:t>
            </w:r>
            <w:r>
              <w:rPr>
                <w:rFonts w:hint="eastAsia"/>
                <w:bCs/>
              </w:rPr>
              <w:t>µGy/h。</w:t>
            </w:r>
          </w:p>
          <w:p>
            <w:pPr>
              <w:adjustRightInd w:val="0"/>
              <w:spacing w:line="360" w:lineRule="auto"/>
              <w:ind w:firstLine="480" w:firstLineChars="200"/>
              <w:rPr>
                <w:bCs/>
              </w:rPr>
            </w:pPr>
            <w:r>
              <w:rPr>
                <w:bCs/>
              </w:rPr>
              <w:t>（1）预测模式</w:t>
            </w:r>
          </w:p>
          <w:p>
            <w:pPr>
              <w:spacing w:line="360" w:lineRule="auto"/>
              <w:ind w:firstLine="480" w:firstLineChars="200"/>
              <w:rPr>
                <w:color w:val="000000"/>
              </w:rPr>
            </w:pPr>
            <w:r>
              <w:rPr>
                <w:bCs/>
              </w:rPr>
              <w:t>依据典型数字减影血管造影设备工作原理，设备图像增强器对X射线主束有防护作用。根据</w:t>
            </w:r>
            <w:r>
              <w:t>NCRP147号报告</w:t>
            </w:r>
            <w:r>
              <w:rPr>
                <w:bCs/>
              </w:rPr>
              <w:t>《StructuralShielding Design For Medical X-Ray Imaging Facilities》第4.1.6节指出，医用血管造影X射线机（DSA）防护设计不需要考虑主束照射。因此，评价考虑泄漏辐射和散射辐射造成的辐射影响。</w:t>
            </w:r>
          </w:p>
          <w:p>
            <w:pPr>
              <w:spacing w:line="360" w:lineRule="auto"/>
              <w:ind w:firstLine="480" w:firstLineChars="200"/>
              <w:rPr>
                <w:bCs/>
                <w:color w:val="000000"/>
              </w:rPr>
            </w:pPr>
            <w:r>
              <w:rPr>
                <w:rFonts w:hint="eastAsia" w:ascii="宋体" w:hAnsi="宋体" w:cs="宋体"/>
                <w:bCs/>
                <w:color w:val="000000"/>
              </w:rPr>
              <w:t>①</w:t>
            </w:r>
            <w:r>
              <w:rPr>
                <w:bCs/>
                <w:color w:val="000000"/>
              </w:rPr>
              <w:t>泄漏辐射剂量率估算</w:t>
            </w:r>
          </w:p>
          <w:p>
            <w:pPr>
              <w:spacing w:line="360" w:lineRule="auto"/>
              <w:ind w:firstLine="480" w:firstLineChars="200"/>
              <w:rPr>
                <w:bCs/>
                <w:color w:val="000000"/>
              </w:rPr>
            </w:pPr>
            <w:r>
              <w:rPr>
                <w:bCs/>
                <w:color w:val="000000"/>
              </w:rPr>
              <w:t>泄漏辐射剂量率计算公式参考《辐射防护手册第一分册-辐射源与屏蔽》（[M]北京：原子能出版社，1987）中给出的公式计算；对于给定的屏蔽物质，屏蔽透射因子参考《放射诊断放射防护要求》（GBZ130-2020）附录C计算。</w:t>
            </w:r>
          </w:p>
          <w:p>
            <w:pPr>
              <w:spacing w:line="360" w:lineRule="auto"/>
              <w:ind w:firstLine="480" w:firstLineChars="200"/>
              <w:jc w:val="right"/>
              <w:rPr>
                <w:bCs/>
                <w:color w:val="000000"/>
              </w:rPr>
            </w:pPr>
            <m:oMath>
              <m:sSub>
                <m:sSubPr>
                  <m:ctrlPr>
                    <w:rPr>
                      <w:rFonts w:ascii="Cambria Math" w:hAnsi="Cambria Math" w:eastAsia="Cambria Math"/>
                      <w:bCs/>
                      <w:i/>
                    </w:rPr>
                  </m:ctrlPr>
                </m:sSubPr>
                <m:e>
                  <m:r>
                    <m:rPr/>
                    <w:rPr>
                      <w:rFonts w:ascii="Cambria Math" w:hAnsi="Cambria Math" w:eastAsia="等线"/>
                    </w:rPr>
                    <m:t>H</m:t>
                  </m:r>
                  <m:ctrlPr>
                    <w:rPr>
                      <w:rFonts w:ascii="Cambria Math" w:hAnsi="Cambria Math" w:eastAsia="Cambria Math"/>
                      <w:bCs/>
                      <w:i/>
                    </w:rPr>
                  </m:ctrlPr>
                </m:e>
                <m:sub>
                  <m:r>
                    <m:rPr/>
                    <w:rPr>
                      <w:rFonts w:ascii="Cambria Math" w:hAnsi="Cambria Math" w:eastAsia="等线"/>
                    </w:rPr>
                    <m:t>L</m:t>
                  </m:r>
                  <m:ctrlPr>
                    <w:rPr>
                      <w:rFonts w:ascii="Cambria Math" w:hAnsi="Cambria Math" w:eastAsia="Cambria Math"/>
                      <w:bCs/>
                      <w:i/>
                    </w:rPr>
                  </m:ctrlPr>
                </m:sub>
              </m:sSub>
              <m:r>
                <m:rPr/>
                <w:rPr>
                  <w:rFonts w:ascii="Cambria Math" w:hAnsi="Cambria Math"/>
                </w:rPr>
                <m:t>=</m:t>
              </m:r>
              <m:f>
                <m:fPr>
                  <m:ctrlPr>
                    <w:rPr>
                      <w:rFonts w:ascii="Cambria Math" w:hAnsi="Cambria Math" w:eastAsia="Cambria Math"/>
                      <w:bCs/>
                    </w:rPr>
                  </m:ctrlPr>
                </m:fPr>
                <m:num>
                  <m:sSub>
                    <m:sSubPr>
                      <m:ctrlPr>
                        <w:rPr>
                          <w:rFonts w:ascii="Cambria Math" w:hAnsi="Cambria Math" w:eastAsia="Cambria Math"/>
                          <w:bCs/>
                          <w:i/>
                        </w:rPr>
                      </m:ctrlPr>
                    </m:sSubPr>
                    <m:e>
                      <m:r>
                        <m:rPr/>
                        <w:rPr>
                          <w:rFonts w:ascii="Cambria Math" w:hAnsi="Cambria Math" w:eastAsia="等线"/>
                        </w:rPr>
                        <m:t>H</m:t>
                      </m:r>
                      <m:ctrlPr>
                        <w:rPr>
                          <w:rFonts w:ascii="Cambria Math" w:hAnsi="Cambria Math" w:eastAsia="Cambria Math"/>
                          <w:bCs/>
                          <w:i/>
                        </w:rPr>
                      </m:ctrlPr>
                    </m:e>
                    <m:sub>
                      <m:r>
                        <m:rPr/>
                        <w:rPr>
                          <w:rFonts w:ascii="Cambria Math" w:hAnsi="Cambria Math" w:eastAsia="等线"/>
                        </w:rPr>
                        <m:t>0</m:t>
                      </m:r>
                      <m:ctrlPr>
                        <w:rPr>
                          <w:rFonts w:ascii="Cambria Math" w:hAnsi="Cambria Math" w:eastAsia="Cambria Math"/>
                          <w:bCs/>
                          <w:i/>
                        </w:rPr>
                      </m:ctrlPr>
                    </m:sub>
                  </m:sSub>
                  <m:r>
                    <m:rPr/>
                    <w:rPr>
                      <w:rFonts w:ascii="Cambria Math" w:hAnsi="Cambria Math" w:eastAsia="Cambria Math"/>
                    </w:rPr>
                    <m:t>×</m:t>
                  </m:r>
                  <m:r>
                    <m:rPr/>
                    <w:rPr>
                      <w:rFonts w:ascii="Cambria Math" w:hAnsi="Cambria Math" w:eastAsia="等线"/>
                    </w:rPr>
                    <m:t>B</m:t>
                  </m:r>
                  <m:r>
                    <m:rPr/>
                    <w:rPr>
                      <w:rFonts w:ascii="Cambria Math" w:hAnsi="Cambria Math" w:eastAsia="Cambria Math"/>
                    </w:rPr>
                    <m:t>×</m:t>
                  </m:r>
                  <m:r>
                    <m:rPr/>
                    <w:rPr>
                      <w:rFonts w:ascii="Cambria Math" w:hAnsi="Cambria Math" w:eastAsia="等线"/>
                    </w:rPr>
                    <m:t>f</m:t>
                  </m:r>
                  <m:ctrlPr>
                    <w:rPr>
                      <w:rFonts w:ascii="Cambria Math" w:hAnsi="Cambria Math" w:eastAsia="Cambria Math"/>
                      <w:bCs/>
                    </w:rPr>
                  </m:ctrlPr>
                </m:num>
                <m:den>
                  <m:sSup>
                    <m:sSupPr>
                      <m:ctrlPr>
                        <w:rPr>
                          <w:rFonts w:ascii="Cambria Math" w:hAnsi="Cambria Math" w:eastAsia="Cambria Math"/>
                          <w:bCs/>
                          <w:i/>
                        </w:rPr>
                      </m:ctrlPr>
                    </m:sSupPr>
                    <m:e>
                      <m:r>
                        <m:rPr/>
                        <w:rPr>
                          <w:rFonts w:ascii="Cambria Math" w:hAnsi="Cambria Math" w:eastAsia="等线"/>
                        </w:rPr>
                        <m:t>d</m:t>
                      </m:r>
                      <m:ctrlPr>
                        <w:rPr>
                          <w:rFonts w:ascii="Cambria Math" w:hAnsi="Cambria Math" w:eastAsia="Cambria Math"/>
                          <w:bCs/>
                          <w:i/>
                        </w:rPr>
                      </m:ctrlPr>
                    </m:e>
                    <m:sup>
                      <m:r>
                        <m:rPr/>
                        <w:rPr>
                          <w:rFonts w:ascii="Cambria Math" w:hAnsi="Cambria Math" w:eastAsia="等线"/>
                        </w:rPr>
                        <m:t>2</m:t>
                      </m:r>
                      <m:ctrlPr>
                        <w:rPr>
                          <w:rFonts w:ascii="Cambria Math" w:hAnsi="Cambria Math" w:eastAsia="Cambria Math"/>
                          <w:bCs/>
                          <w:i/>
                        </w:rPr>
                      </m:ctrlPr>
                    </m:sup>
                  </m:sSup>
                  <m:ctrlPr>
                    <w:rPr>
                      <w:rFonts w:ascii="Cambria Math" w:hAnsi="Cambria Math" w:eastAsia="Cambria Math"/>
                      <w:bCs/>
                    </w:rPr>
                  </m:ctrlPr>
                </m:den>
              </m:f>
            </m:oMath>
            <w:r>
              <w:rPr>
                <w:bCs/>
                <w:color w:val="000000"/>
              </w:rPr>
              <w:t xml:space="preserve">                                                （11-1）</w:t>
            </w:r>
          </w:p>
          <w:p>
            <w:pPr>
              <w:spacing w:line="360" w:lineRule="auto"/>
              <w:ind w:firstLine="480" w:firstLineChars="200"/>
              <w:jc w:val="right"/>
              <w:rPr>
                <w:bCs/>
                <w:color w:val="000000"/>
              </w:rPr>
            </w:pPr>
            <m:oMath>
              <m:r>
                <m:rPr/>
                <w:rPr>
                  <w:rFonts w:ascii="Cambria Math" w:hAnsi="Cambria Math" w:eastAsia="等线"/>
                </w:rPr>
                <m:t>B</m:t>
              </m:r>
              <m:r>
                <m:rPr/>
                <w:rPr>
                  <w:rFonts w:ascii="Cambria Math" w:hAnsi="Cambria Math"/>
                </w:rPr>
                <m:t>=</m:t>
              </m:r>
              <m:sSup>
                <m:sSupPr>
                  <m:ctrlPr>
                    <w:rPr>
                      <w:rFonts w:ascii="Cambria Math" w:hAnsi="Cambria Math" w:eastAsia="Cambria Math"/>
                      <w:bCs/>
                      <w:i/>
                    </w:rPr>
                  </m:ctrlPr>
                </m:sSupPr>
                <m:e>
                  <m:d>
                    <m:dPr>
                      <m:begChr m:val="["/>
                      <m:endChr m:val="]"/>
                      <m:ctrlPr>
                        <w:rPr>
                          <w:rFonts w:ascii="Cambria Math" w:hAnsi="Cambria Math" w:eastAsia="Cambria Math"/>
                          <w:bCs/>
                          <w:i/>
                        </w:rPr>
                      </m:ctrlPr>
                    </m:dPr>
                    <m:e>
                      <m:d>
                        <m:dPr>
                          <m:ctrlPr>
                            <w:rPr>
                              <w:rFonts w:ascii="Cambria Math" w:hAnsi="Cambria Math" w:eastAsia="Cambria Math"/>
                              <w:bCs/>
                              <w:i/>
                            </w:rPr>
                          </m:ctrlPr>
                        </m:dPr>
                        <m:e>
                          <m:r>
                            <m:rPr/>
                            <w:rPr>
                              <w:rFonts w:ascii="Cambria Math" w:hAnsi="Cambria Math" w:eastAsia="等线"/>
                            </w:rPr>
                            <m:t>1+</m:t>
                          </m:r>
                          <m:f>
                            <m:fPr>
                              <m:ctrlPr>
                                <w:rPr>
                                  <w:rFonts w:ascii="Cambria Math" w:hAnsi="Cambria Math" w:eastAsia="Cambria Math"/>
                                  <w:bCs/>
                                  <w:i/>
                                </w:rPr>
                              </m:ctrlPr>
                            </m:fPr>
                            <m:num>
                              <m:r>
                                <m:rPr/>
                                <w:rPr>
                                  <w:rFonts w:ascii="Cambria Math" w:hAnsi="Cambria Math" w:eastAsia="Cambria Math"/>
                                </w:rPr>
                                <m:t>β</m:t>
                              </m:r>
                              <m:ctrlPr>
                                <w:rPr>
                                  <w:rFonts w:ascii="Cambria Math" w:hAnsi="Cambria Math" w:eastAsia="Cambria Math"/>
                                  <w:bCs/>
                                  <w:i/>
                                </w:rPr>
                              </m:ctrlPr>
                            </m:num>
                            <m:den>
                              <m:r>
                                <m:rPr/>
                                <w:rPr>
                                  <w:rFonts w:ascii="Cambria Math" w:hAnsi="Cambria Math" w:eastAsia="Cambria Math"/>
                                </w:rPr>
                                <m:t>α</m:t>
                              </m:r>
                              <m:ctrlPr>
                                <w:rPr>
                                  <w:rFonts w:ascii="Cambria Math" w:hAnsi="Cambria Math" w:eastAsia="Cambria Math"/>
                                  <w:bCs/>
                                  <w:i/>
                                </w:rPr>
                              </m:ctrlPr>
                            </m:den>
                          </m:f>
                          <m:ctrlPr>
                            <w:rPr>
                              <w:rFonts w:ascii="Cambria Math" w:hAnsi="Cambria Math" w:eastAsia="Cambria Math"/>
                              <w:bCs/>
                              <w:i/>
                            </w:rPr>
                          </m:ctrlPr>
                        </m:e>
                      </m:d>
                      <m:sSup>
                        <m:sSupPr>
                          <m:ctrlPr>
                            <w:rPr>
                              <w:rFonts w:ascii="Cambria Math" w:hAnsi="Cambria Math" w:eastAsia="Cambria Math"/>
                              <w:bCs/>
                              <w:i/>
                            </w:rPr>
                          </m:ctrlPr>
                        </m:sSupPr>
                        <m:e>
                          <m:r>
                            <m:rPr/>
                            <w:rPr>
                              <w:rFonts w:ascii="Cambria Math" w:hAnsi="Cambria Math" w:eastAsia="等线"/>
                            </w:rPr>
                            <m:t>e</m:t>
                          </m:r>
                          <m:ctrlPr>
                            <w:rPr>
                              <w:rFonts w:ascii="Cambria Math" w:hAnsi="Cambria Math" w:eastAsia="Cambria Math"/>
                              <w:bCs/>
                              <w:i/>
                            </w:rPr>
                          </m:ctrlPr>
                        </m:e>
                        <m:sup>
                          <m:r>
                            <m:rPr/>
                            <w:rPr>
                              <w:rFonts w:ascii="Cambria Math" w:hAnsi="Cambria Math" w:eastAsia="Cambria Math"/>
                            </w:rPr>
                            <m:t>αγX</m:t>
                          </m:r>
                          <m:ctrlPr>
                            <w:rPr>
                              <w:rFonts w:ascii="Cambria Math" w:hAnsi="Cambria Math" w:eastAsia="Cambria Math"/>
                              <w:bCs/>
                              <w:i/>
                            </w:rPr>
                          </m:ctrlPr>
                        </m:sup>
                      </m:sSup>
                      <m:r>
                        <m:rPr/>
                        <w:rPr>
                          <w:rFonts w:ascii="Cambria Math" w:hAnsi="Cambria Math" w:eastAsia="Cambria Math"/>
                        </w:rPr>
                        <m:t>−</m:t>
                      </m:r>
                      <m:f>
                        <m:fPr>
                          <m:ctrlPr>
                            <w:rPr>
                              <w:rFonts w:ascii="Cambria Math" w:hAnsi="Cambria Math" w:eastAsia="Cambria Math"/>
                              <w:bCs/>
                              <w:i/>
                            </w:rPr>
                          </m:ctrlPr>
                        </m:fPr>
                        <m:num>
                          <m:r>
                            <m:rPr/>
                            <w:rPr>
                              <w:rFonts w:ascii="Cambria Math" w:hAnsi="Cambria Math" w:eastAsia="Cambria Math"/>
                            </w:rPr>
                            <m:t>β</m:t>
                          </m:r>
                          <m:ctrlPr>
                            <w:rPr>
                              <w:rFonts w:ascii="Cambria Math" w:hAnsi="Cambria Math" w:eastAsia="Cambria Math"/>
                              <w:bCs/>
                              <w:i/>
                            </w:rPr>
                          </m:ctrlPr>
                        </m:num>
                        <m:den>
                          <m:r>
                            <m:rPr/>
                            <w:rPr>
                              <w:rFonts w:ascii="Cambria Math" w:hAnsi="Cambria Math" w:eastAsia="Cambria Math"/>
                            </w:rPr>
                            <m:t>α</m:t>
                          </m:r>
                          <m:ctrlPr>
                            <w:rPr>
                              <w:rFonts w:ascii="Cambria Math" w:hAnsi="Cambria Math" w:eastAsia="Cambria Math"/>
                              <w:bCs/>
                              <w:i/>
                            </w:rPr>
                          </m:ctrlPr>
                        </m:den>
                      </m:f>
                      <m:ctrlPr>
                        <w:rPr>
                          <w:rFonts w:ascii="Cambria Math" w:hAnsi="Cambria Math" w:eastAsia="Cambria Math"/>
                          <w:bCs/>
                          <w:i/>
                        </w:rPr>
                      </m:ctrlPr>
                    </m:e>
                  </m:d>
                  <m:ctrlPr>
                    <w:rPr>
                      <w:rFonts w:ascii="Cambria Math" w:hAnsi="Cambria Math" w:eastAsia="Cambria Math"/>
                      <w:bCs/>
                      <w:i/>
                    </w:rPr>
                  </m:ctrlPr>
                </m:e>
                <m:sup>
                  <m:r>
                    <m:rPr/>
                    <w:rPr>
                      <w:rFonts w:ascii="Cambria Math" w:hAnsi="Cambria Math" w:eastAsia="Cambria Math"/>
                    </w:rPr>
                    <m:t>−</m:t>
                  </m:r>
                  <m:f>
                    <m:fPr>
                      <m:ctrlPr>
                        <w:rPr>
                          <w:rFonts w:ascii="Cambria Math" w:hAnsi="Cambria Math" w:eastAsia="Cambria Math"/>
                          <w:bCs/>
                          <w:i/>
                        </w:rPr>
                      </m:ctrlPr>
                    </m:fPr>
                    <m:num>
                      <m:r>
                        <m:rPr/>
                        <w:rPr>
                          <w:rFonts w:ascii="Cambria Math" w:hAnsi="Cambria Math" w:eastAsia="Cambria Math"/>
                        </w:rPr>
                        <m:t>1</m:t>
                      </m:r>
                      <m:ctrlPr>
                        <w:rPr>
                          <w:rFonts w:ascii="Cambria Math" w:hAnsi="Cambria Math" w:eastAsia="Cambria Math"/>
                          <w:bCs/>
                          <w:i/>
                        </w:rPr>
                      </m:ctrlPr>
                    </m:num>
                    <m:den>
                      <m:r>
                        <m:rPr/>
                        <w:rPr>
                          <w:rFonts w:ascii="Cambria Math" w:hAnsi="Cambria Math" w:eastAsia="Cambria Math"/>
                        </w:rPr>
                        <m:t>γ</m:t>
                      </m:r>
                      <m:ctrlPr>
                        <w:rPr>
                          <w:rFonts w:ascii="Cambria Math" w:hAnsi="Cambria Math" w:eastAsia="Cambria Math"/>
                          <w:bCs/>
                          <w:i/>
                        </w:rPr>
                      </m:ctrlPr>
                    </m:den>
                  </m:f>
                  <m:ctrlPr>
                    <w:rPr>
                      <w:rFonts w:ascii="Cambria Math" w:hAnsi="Cambria Math" w:eastAsia="Cambria Math"/>
                      <w:bCs/>
                      <w:i/>
                    </w:rPr>
                  </m:ctrlPr>
                </m:sup>
              </m:sSup>
            </m:oMath>
            <w:r>
              <w:rPr>
                <w:bCs/>
                <w:color w:val="000000"/>
              </w:rPr>
              <w:t xml:space="preserve">                                     （11-2）</w:t>
            </w:r>
          </w:p>
          <w:p>
            <w:pPr>
              <w:spacing w:line="360" w:lineRule="auto"/>
              <w:ind w:firstLine="480" w:firstLineChars="200"/>
              <w:jc w:val="left"/>
              <w:rPr>
                <w:bCs/>
                <w:color w:val="000000"/>
              </w:rPr>
            </w:pPr>
            <w:r>
              <w:rPr>
                <w:bCs/>
                <w:color w:val="000000"/>
              </w:rPr>
              <w:t>式中：</w:t>
            </w:r>
            <m:oMath>
              <m:sSub>
                <m:sSubPr>
                  <m:ctrlPr>
                    <w:rPr>
                      <w:rFonts w:ascii="Cambria Math" w:hAnsi="Cambria Math" w:eastAsia="Cambria Math"/>
                      <w:bCs/>
                      <w:i/>
                    </w:rPr>
                  </m:ctrlPr>
                </m:sSubPr>
                <m:e>
                  <m:r>
                    <m:rPr/>
                    <w:rPr>
                      <w:rFonts w:ascii="Cambria Math" w:hAnsi="Cambria Math" w:eastAsia="等线"/>
                    </w:rPr>
                    <m:t>H</m:t>
                  </m:r>
                  <m:ctrlPr>
                    <w:rPr>
                      <w:rFonts w:ascii="Cambria Math" w:hAnsi="Cambria Math" w:eastAsia="Cambria Math"/>
                      <w:bCs/>
                      <w:i/>
                    </w:rPr>
                  </m:ctrlPr>
                </m:e>
                <m:sub>
                  <m:r>
                    <m:rPr/>
                    <w:rPr>
                      <w:rFonts w:ascii="Cambria Math" w:hAnsi="Cambria Math" w:eastAsia="等线"/>
                    </w:rPr>
                    <m:t>L</m:t>
                  </m:r>
                  <m:ctrlPr>
                    <w:rPr>
                      <w:rFonts w:ascii="Cambria Math" w:hAnsi="Cambria Math" w:eastAsia="Cambria Math"/>
                      <w:bCs/>
                      <w:i/>
                    </w:rPr>
                  </m:ctrlPr>
                </m:sub>
              </m:sSub>
            </m:oMath>
            <w:r>
              <w:rPr>
                <w:bCs/>
                <w:color w:val="000000"/>
              </w:rPr>
              <w:t>—关注点漏射剂量率，µSv/h；</w:t>
            </w:r>
          </w:p>
          <w:p>
            <w:pPr>
              <w:spacing w:line="360" w:lineRule="auto"/>
              <w:ind w:firstLine="1200" w:firstLineChars="500"/>
              <w:rPr>
                <w:bCs/>
                <w:color w:val="000000"/>
              </w:rPr>
            </w:pPr>
            <m:oMath>
              <m:r>
                <m:rPr/>
                <w:rPr>
                  <w:rFonts w:ascii="Cambria Math" w:hAnsi="Cambria Math" w:eastAsia="等线"/>
                </w:rPr>
                <m:t>f</m:t>
              </m:r>
            </m:oMath>
            <w:r>
              <w:rPr>
                <w:bCs/>
                <w:color w:val="000000"/>
              </w:rPr>
              <w:t>—设备射线泄漏率，取0.1%；</w:t>
            </w:r>
          </w:p>
          <w:p>
            <w:pPr>
              <w:spacing w:line="360" w:lineRule="auto"/>
              <w:ind w:firstLine="1200" w:firstLineChars="500"/>
              <w:rPr>
                <w:bCs/>
                <w:color w:val="000000"/>
              </w:rPr>
            </w:pPr>
            <m:oMath>
              <m:sSub>
                <m:sSubPr>
                  <m:ctrlPr>
                    <w:rPr>
                      <w:rFonts w:ascii="Cambria Math" w:hAnsi="Cambria Math" w:eastAsia="等线"/>
                      <w:bCs/>
                      <w:i/>
                    </w:rPr>
                  </m:ctrlPr>
                </m:sSubPr>
                <m:e>
                  <m:r>
                    <m:rPr/>
                    <w:rPr>
                      <w:rFonts w:ascii="Cambria Math" w:hAnsi="Cambria Math" w:eastAsia="等线"/>
                    </w:rPr>
                    <m:t>H</m:t>
                  </m:r>
                  <m:ctrlPr>
                    <w:rPr>
                      <w:rFonts w:ascii="Cambria Math" w:hAnsi="Cambria Math" w:eastAsia="等线"/>
                      <w:bCs/>
                      <w:i/>
                    </w:rPr>
                  </m:ctrlPr>
                </m:e>
                <m:sub>
                  <m:r>
                    <m:rPr/>
                    <w:rPr>
                      <w:rFonts w:ascii="Cambria Math" w:hAnsi="Cambria Math" w:eastAsia="等线"/>
                    </w:rPr>
                    <m:t>0</m:t>
                  </m:r>
                  <m:ctrlPr>
                    <w:rPr>
                      <w:rFonts w:ascii="Cambria Math" w:hAnsi="Cambria Math" w:eastAsia="等线"/>
                      <w:bCs/>
                      <w:i/>
                    </w:rPr>
                  </m:ctrlPr>
                </m:sub>
              </m:sSub>
            </m:oMath>
            <w:r>
              <w:rPr>
                <w:bCs/>
                <w:color w:val="000000"/>
              </w:rPr>
              <w:t>—离靶1m处的剂量率，µSv/h；</w:t>
            </w:r>
          </w:p>
          <w:p>
            <w:pPr>
              <w:spacing w:line="360" w:lineRule="auto"/>
              <w:ind w:firstLine="1200" w:firstLineChars="500"/>
              <w:rPr>
                <w:bCs/>
                <w:color w:val="000000"/>
              </w:rPr>
            </w:pPr>
            <m:oMath>
              <m:r>
                <m:rPr/>
                <w:rPr>
                  <w:rFonts w:ascii="Cambria Math" w:hAnsi="Cambria Math" w:eastAsia="等线"/>
                </w:rPr>
                <m:t>d</m:t>
              </m:r>
            </m:oMath>
            <w:r>
              <w:rPr>
                <w:bCs/>
                <w:color w:val="000000"/>
              </w:rPr>
              <w:t>—计算点距源点的距离，m；</w:t>
            </w:r>
          </w:p>
          <w:p>
            <w:pPr>
              <w:spacing w:line="360" w:lineRule="auto"/>
              <w:ind w:firstLine="1200" w:firstLineChars="500"/>
              <w:rPr>
                <w:bCs/>
                <w:color w:val="000000"/>
              </w:rPr>
            </w:pPr>
            <m:oMath>
              <m:r>
                <m:rPr/>
                <w:rPr>
                  <w:rFonts w:ascii="Cambria Math" w:hAnsi="Cambria Math" w:eastAsia="等线"/>
                </w:rPr>
                <m:t>B</m:t>
              </m:r>
            </m:oMath>
            <w:r>
              <w:rPr>
                <w:bCs/>
                <w:color w:val="000000"/>
              </w:rPr>
              <w:t>—透射因子；</w:t>
            </w:r>
          </w:p>
          <w:p>
            <w:pPr>
              <w:spacing w:line="360" w:lineRule="auto"/>
              <w:ind w:firstLine="1200" w:firstLineChars="500"/>
              <w:rPr>
                <w:bCs/>
                <w:color w:val="000000"/>
              </w:rPr>
            </w:pPr>
            <m:oMath>
              <m:r>
                <m:rPr/>
                <w:rPr>
                  <w:rFonts w:ascii="Cambria Math" w:hAnsi="Cambria Math" w:eastAsia="等线"/>
                </w:rPr>
                <m:t>X</m:t>
              </m:r>
            </m:oMath>
            <w:r>
              <w:rPr>
                <w:bCs/>
                <w:color w:val="000000"/>
              </w:rPr>
              <w:t>—铅厚度，mm；</w:t>
            </w:r>
          </w:p>
          <w:p>
            <w:pPr>
              <w:spacing w:line="360" w:lineRule="auto"/>
              <w:ind w:firstLine="480" w:firstLineChars="200"/>
              <w:rPr>
                <w:bCs/>
                <w:color w:val="000000"/>
              </w:rPr>
            </w:pPr>
            <w:r>
              <w:rPr>
                <w:rFonts w:hint="eastAsia" w:ascii="宋体" w:hAnsi="宋体"/>
                <w:bCs/>
                <w:color w:val="000000"/>
              </w:rPr>
              <w:t>②</w:t>
            </w:r>
            <w:r>
              <w:rPr>
                <w:bCs/>
                <w:color w:val="000000"/>
              </w:rPr>
              <w:t>散射辐射剂量率估算</w:t>
            </w:r>
          </w:p>
          <w:p>
            <w:pPr>
              <w:spacing w:line="360" w:lineRule="auto"/>
              <w:ind w:firstLine="480" w:firstLineChars="200"/>
              <w:rPr>
                <w:bCs/>
                <w:color w:val="000000"/>
              </w:rPr>
            </w:pPr>
            <w:r>
              <w:rPr>
                <w:bCs/>
                <w:color w:val="000000"/>
              </w:rPr>
              <w:t>对于病人体表的散射X射线可以用反照率法估计。散射剂量率计算公式参考《辐射防护手册第一分册</w:t>
            </w:r>
            <w:r>
              <w:rPr>
                <w:rFonts w:hint="eastAsia"/>
                <w:bCs/>
                <w:color w:val="000000"/>
              </w:rPr>
              <w:t>—</w:t>
            </w:r>
            <w:r>
              <w:rPr>
                <w:bCs/>
                <w:color w:val="000000"/>
              </w:rPr>
              <w:t>辐射源与屏蔽》（[M]北京：原子能出版社，1987）</w:t>
            </w:r>
            <w:r>
              <w:rPr>
                <w:rFonts w:hint="eastAsia"/>
                <w:bCs/>
                <w:color w:val="000000"/>
              </w:rPr>
              <w:t>：</w:t>
            </w:r>
          </w:p>
          <w:p>
            <w:pPr>
              <w:spacing w:line="360" w:lineRule="auto"/>
              <w:ind w:firstLine="480" w:firstLineChars="200"/>
              <w:jc w:val="right"/>
              <w:rPr>
                <w:bCs/>
                <w:color w:val="000000"/>
              </w:rPr>
            </w:pPr>
            <m:oMath>
              <m:sSub>
                <m:sSubPr>
                  <m:ctrlPr>
                    <w:rPr>
                      <w:rFonts w:ascii="Cambria Math" w:hAnsi="Cambria Math" w:eastAsia="Cambria Math"/>
                      <w:bCs/>
                      <w:i/>
                    </w:rPr>
                  </m:ctrlPr>
                </m:sSubPr>
                <m:e>
                  <m:r>
                    <m:rPr/>
                    <w:rPr>
                      <w:rFonts w:ascii="Cambria Math" w:hAnsi="Cambria Math" w:eastAsia="等线"/>
                    </w:rPr>
                    <m:t>H</m:t>
                  </m:r>
                  <m:ctrlPr>
                    <w:rPr>
                      <w:rFonts w:ascii="Cambria Math" w:hAnsi="Cambria Math" w:eastAsia="Cambria Math"/>
                      <w:bCs/>
                      <w:i/>
                    </w:rPr>
                  </m:ctrlPr>
                </m:e>
                <m:sub>
                  <m:r>
                    <m:rPr/>
                    <w:rPr>
                      <w:rFonts w:ascii="Cambria Math" w:hAnsi="Cambria Math" w:eastAsia="等线"/>
                    </w:rPr>
                    <m:t>s</m:t>
                  </m:r>
                  <m:ctrlPr>
                    <w:rPr>
                      <w:rFonts w:ascii="Cambria Math" w:hAnsi="Cambria Math" w:eastAsia="Cambria Math"/>
                      <w:bCs/>
                      <w:i/>
                    </w:rPr>
                  </m:ctrlPr>
                </m:sub>
              </m:sSub>
              <m:r>
                <m:rPr>
                  <m:sty m:val="p"/>
                </m:rPr>
                <w:rPr>
                  <w:rFonts w:ascii="Cambria Math" w:hAnsi="Cambria Math" w:eastAsia="Cambria Math"/>
                </w:rPr>
                <m:t>=</m:t>
              </m:r>
              <m:f>
                <m:fPr>
                  <m:ctrlPr>
                    <w:rPr>
                      <w:rFonts w:ascii="Cambria Math" w:hAnsi="Cambria Math" w:eastAsia="Cambria Math"/>
                      <w:bCs/>
                    </w:rPr>
                  </m:ctrlPr>
                </m:fPr>
                <m:num>
                  <m:sSub>
                    <m:sSubPr>
                      <m:ctrlPr>
                        <w:rPr>
                          <w:rFonts w:ascii="Cambria Math" w:hAnsi="Cambria Math" w:eastAsia="Cambria Math"/>
                          <w:bCs/>
                        </w:rPr>
                      </m:ctrlPr>
                    </m:sSubPr>
                    <m:e>
                      <m:r>
                        <m:rPr/>
                        <w:rPr>
                          <w:rFonts w:ascii="Cambria Math" w:hAnsi="Cambria Math" w:eastAsia="等线"/>
                        </w:rPr>
                        <m:t>H</m:t>
                      </m:r>
                      <m:ctrlPr>
                        <w:rPr>
                          <w:rFonts w:ascii="Cambria Math" w:hAnsi="Cambria Math" w:eastAsia="Cambria Math"/>
                          <w:bCs/>
                        </w:rPr>
                      </m:ctrlPr>
                    </m:e>
                    <m:sub>
                      <m:r>
                        <m:rPr/>
                        <w:rPr>
                          <w:rFonts w:ascii="Cambria Math" w:hAnsi="Cambria Math" w:eastAsia="等线"/>
                        </w:rPr>
                        <m:t>0</m:t>
                      </m:r>
                      <m:ctrlPr>
                        <w:rPr>
                          <w:rFonts w:ascii="Cambria Math" w:hAnsi="Cambria Math" w:eastAsia="Cambria Math"/>
                          <w:bCs/>
                        </w:rPr>
                      </m:ctrlPr>
                    </m:sub>
                  </m:sSub>
                  <m:r>
                    <m:rPr/>
                    <w:rPr>
                      <w:rFonts w:ascii="Cambria Math" w:hAnsi="Cambria Math" w:eastAsia="Cambria Math"/>
                    </w:rPr>
                    <m:t>×α×</m:t>
                  </m:r>
                  <m:r>
                    <m:rPr/>
                    <w:rPr>
                      <w:rFonts w:ascii="Cambria Math" w:hAnsi="Cambria Math" w:eastAsia="等线"/>
                    </w:rPr>
                    <m:t>B</m:t>
                  </m:r>
                  <m:r>
                    <m:rPr/>
                    <w:rPr>
                      <w:rFonts w:ascii="Cambria Math" w:hAnsi="Cambria Math" w:eastAsia="Cambria Math"/>
                    </w:rPr>
                    <m:t>×</m:t>
                  </m:r>
                  <m:d>
                    <m:dPr>
                      <m:ctrlPr>
                        <w:rPr>
                          <w:rFonts w:ascii="Cambria Math" w:hAnsi="Cambria Math" w:eastAsia="Cambria Math"/>
                          <w:bCs/>
                          <w:i/>
                        </w:rPr>
                      </m:ctrlPr>
                    </m:dPr>
                    <m:e>
                      <m:r>
                        <m:rPr/>
                        <w:rPr>
                          <w:rFonts w:ascii="Cambria Math" w:hAnsi="Cambria Math" w:eastAsia="等线"/>
                        </w:rPr>
                        <m:t>S/400</m:t>
                      </m:r>
                      <m:ctrlPr>
                        <w:rPr>
                          <w:rFonts w:ascii="Cambria Math" w:hAnsi="Cambria Math" w:eastAsia="Cambria Math"/>
                          <w:bCs/>
                          <w:i/>
                        </w:rPr>
                      </m:ctrlPr>
                    </m:e>
                  </m:d>
                  <m:ctrlPr>
                    <w:rPr>
                      <w:rFonts w:ascii="Cambria Math" w:hAnsi="Cambria Math" w:eastAsia="Cambria Math"/>
                      <w:bCs/>
                    </w:rPr>
                  </m:ctrlPr>
                </m:num>
                <m:den>
                  <m:sSup>
                    <m:sSupPr>
                      <m:ctrlPr>
                        <w:rPr>
                          <w:rFonts w:ascii="Cambria Math" w:hAnsi="Cambria Math" w:eastAsia="Cambria Math"/>
                          <w:bCs/>
                        </w:rPr>
                      </m:ctrlPr>
                    </m:sSupPr>
                    <m:e>
                      <m:d>
                        <m:dPr>
                          <m:ctrlPr>
                            <w:rPr>
                              <w:rFonts w:ascii="Cambria Math" w:hAnsi="Cambria Math" w:eastAsia="Cambria Math"/>
                              <w:bCs/>
                              <w:i/>
                            </w:rPr>
                          </m:ctrlPr>
                        </m:dPr>
                        <m:e>
                          <m:sSub>
                            <m:sSubPr>
                              <m:ctrlPr>
                                <w:rPr>
                                  <w:rFonts w:ascii="Cambria Math" w:hAnsi="Cambria Math" w:eastAsia="Cambria Math"/>
                                  <w:bCs/>
                                  <w:i/>
                                </w:rPr>
                              </m:ctrlPr>
                            </m:sSubPr>
                            <m:e>
                              <m:r>
                                <m:rPr/>
                                <w:rPr>
                                  <w:rFonts w:ascii="Cambria Math" w:hAnsi="Cambria Math" w:eastAsia="等线"/>
                                </w:rPr>
                                <m:t>d</m:t>
                              </m:r>
                              <m:ctrlPr>
                                <w:rPr>
                                  <w:rFonts w:ascii="Cambria Math" w:hAnsi="Cambria Math" w:eastAsia="Cambria Math"/>
                                  <w:bCs/>
                                  <w:i/>
                                </w:rPr>
                              </m:ctrlPr>
                            </m:e>
                            <m:sub>
                              <m:r>
                                <m:rPr/>
                                <w:rPr>
                                  <w:rFonts w:ascii="Cambria Math" w:hAnsi="Cambria Math" w:eastAsia="等线"/>
                                </w:rPr>
                                <m:t>0</m:t>
                              </m:r>
                              <m:ctrlPr>
                                <w:rPr>
                                  <w:rFonts w:ascii="Cambria Math" w:hAnsi="Cambria Math" w:eastAsia="Cambria Math"/>
                                  <w:bCs/>
                                  <w:i/>
                                </w:rPr>
                              </m:ctrlPr>
                            </m:sub>
                          </m:sSub>
                          <m:r>
                            <m:rPr/>
                            <w:rPr>
                              <w:rFonts w:ascii="Cambria Math" w:hAnsi="Cambria Math" w:eastAsia="Cambria Math"/>
                            </w:rPr>
                            <m:t>×</m:t>
                          </m:r>
                          <m:sSub>
                            <m:sSubPr>
                              <m:ctrlPr>
                                <w:rPr>
                                  <w:rFonts w:ascii="Cambria Math" w:hAnsi="Cambria Math" w:eastAsia="Cambria Math"/>
                                  <w:bCs/>
                                  <w:i/>
                                </w:rPr>
                              </m:ctrlPr>
                            </m:sSubPr>
                            <m:e>
                              <m:r>
                                <m:rPr/>
                                <w:rPr>
                                  <w:rFonts w:ascii="Cambria Math" w:hAnsi="Cambria Math" w:eastAsia="等线"/>
                                </w:rPr>
                                <m:t>d</m:t>
                              </m:r>
                              <m:ctrlPr>
                                <w:rPr>
                                  <w:rFonts w:ascii="Cambria Math" w:hAnsi="Cambria Math" w:eastAsia="Cambria Math"/>
                                  <w:bCs/>
                                  <w:i/>
                                </w:rPr>
                              </m:ctrlPr>
                            </m:e>
                            <m:sub>
                              <m:r>
                                <m:rPr/>
                                <w:rPr>
                                  <w:rFonts w:ascii="Cambria Math" w:hAnsi="Cambria Math" w:eastAsia="等线"/>
                                </w:rPr>
                                <m:t>s</m:t>
                              </m:r>
                              <m:ctrlPr>
                                <w:rPr>
                                  <w:rFonts w:ascii="Cambria Math" w:hAnsi="Cambria Math" w:eastAsia="Cambria Math"/>
                                  <w:bCs/>
                                  <w:i/>
                                </w:rPr>
                              </m:ctrlPr>
                            </m:sub>
                          </m:sSub>
                          <m:ctrlPr>
                            <w:rPr>
                              <w:rFonts w:ascii="Cambria Math" w:hAnsi="Cambria Math" w:eastAsia="Cambria Math"/>
                              <w:bCs/>
                              <w:i/>
                            </w:rPr>
                          </m:ctrlPr>
                        </m:e>
                      </m:d>
                      <m:ctrlPr>
                        <w:rPr>
                          <w:rFonts w:ascii="Cambria Math" w:hAnsi="Cambria Math" w:eastAsia="Cambria Math"/>
                          <w:bCs/>
                        </w:rPr>
                      </m:ctrlPr>
                    </m:e>
                    <m:sup>
                      <m:r>
                        <m:rPr/>
                        <w:rPr>
                          <w:rFonts w:ascii="Cambria Math" w:hAnsi="Cambria Math" w:eastAsia="等线"/>
                        </w:rPr>
                        <m:t>2</m:t>
                      </m:r>
                      <m:ctrlPr>
                        <w:rPr>
                          <w:rFonts w:ascii="Cambria Math" w:hAnsi="Cambria Math" w:eastAsia="Cambria Math"/>
                          <w:bCs/>
                        </w:rPr>
                      </m:ctrlPr>
                    </m:sup>
                  </m:sSup>
                  <m:ctrlPr>
                    <w:rPr>
                      <w:rFonts w:ascii="Cambria Math" w:hAnsi="Cambria Math" w:eastAsia="Cambria Math"/>
                      <w:bCs/>
                    </w:rPr>
                  </m:ctrlPr>
                </m:den>
              </m:f>
            </m:oMath>
            <w:r>
              <w:rPr>
                <w:bCs/>
                <w:color w:val="000000"/>
              </w:rPr>
              <w:t xml:space="preserve">                                    （11-3）</w:t>
            </w:r>
          </w:p>
          <w:p>
            <w:pPr>
              <w:spacing w:line="360" w:lineRule="auto"/>
              <w:ind w:firstLine="480" w:firstLineChars="200"/>
              <w:jc w:val="left"/>
              <w:rPr>
                <w:bCs/>
                <w:color w:val="000000"/>
              </w:rPr>
            </w:pPr>
            <w:r>
              <w:rPr>
                <w:bCs/>
                <w:color w:val="000000"/>
              </w:rPr>
              <w:t>式中：</w:t>
            </w:r>
            <m:oMath>
              <m:sSub>
                <m:sSubPr>
                  <m:ctrlPr>
                    <w:rPr>
                      <w:rFonts w:ascii="Cambria Math" w:hAnsi="Cambria Math" w:eastAsia="Cambria Math"/>
                      <w:bCs/>
                      <w:i/>
                    </w:rPr>
                  </m:ctrlPr>
                </m:sSubPr>
                <m:e>
                  <m:r>
                    <m:rPr/>
                    <w:rPr>
                      <w:rFonts w:ascii="Cambria Math" w:hAnsi="Cambria Math" w:eastAsia="等线"/>
                    </w:rPr>
                    <m:t>H</m:t>
                  </m:r>
                  <m:ctrlPr>
                    <w:rPr>
                      <w:rFonts w:ascii="Cambria Math" w:hAnsi="Cambria Math" w:eastAsia="Cambria Math"/>
                      <w:bCs/>
                      <w:i/>
                    </w:rPr>
                  </m:ctrlPr>
                </m:e>
                <m:sub>
                  <m:r>
                    <m:rPr/>
                    <w:rPr>
                      <w:rFonts w:ascii="Cambria Math" w:hAnsi="Cambria Math" w:eastAsia="等线"/>
                    </w:rPr>
                    <m:t>s</m:t>
                  </m:r>
                  <m:ctrlPr>
                    <w:rPr>
                      <w:rFonts w:ascii="Cambria Math" w:hAnsi="Cambria Math" w:eastAsia="Cambria Math"/>
                      <w:bCs/>
                      <w:i/>
                    </w:rPr>
                  </m:ctrlPr>
                </m:sub>
              </m:sSub>
            </m:oMath>
            <w:r>
              <w:rPr>
                <w:bCs/>
                <w:color w:val="000000"/>
              </w:rPr>
              <w:t>—关注点处的患者散射剂量率，µSv/h；</w:t>
            </w:r>
          </w:p>
          <w:p>
            <w:pPr>
              <w:spacing w:line="360" w:lineRule="auto"/>
              <w:ind w:firstLine="1200" w:firstLineChars="500"/>
              <w:jc w:val="left"/>
              <w:rPr>
                <w:bCs/>
                <w:color w:val="000000"/>
              </w:rPr>
            </w:pPr>
            <m:oMath>
              <m:sSub>
                <m:sSubPr>
                  <m:ctrlPr>
                    <w:rPr>
                      <w:rFonts w:ascii="Cambria Math" w:hAnsi="Cambria Math" w:eastAsia="Cambria Math"/>
                      <w:bCs/>
                      <w:i/>
                    </w:rPr>
                  </m:ctrlPr>
                </m:sSubPr>
                <m:e>
                  <m:r>
                    <m:rPr/>
                    <w:rPr>
                      <w:rFonts w:ascii="Cambria Math" w:hAnsi="Cambria Math" w:eastAsia="等线"/>
                    </w:rPr>
                    <m:t>H</m:t>
                  </m:r>
                  <m:ctrlPr>
                    <w:rPr>
                      <w:rFonts w:ascii="Cambria Math" w:hAnsi="Cambria Math" w:eastAsia="Cambria Math"/>
                      <w:bCs/>
                      <w:i/>
                    </w:rPr>
                  </m:ctrlPr>
                </m:e>
                <m:sub>
                  <m:r>
                    <m:rPr/>
                    <w:rPr>
                      <w:rFonts w:ascii="Cambria Math" w:hAnsi="Cambria Math" w:eastAsia="等线"/>
                    </w:rPr>
                    <m:t>0</m:t>
                  </m:r>
                  <m:ctrlPr>
                    <w:rPr>
                      <w:rFonts w:ascii="Cambria Math" w:hAnsi="Cambria Math" w:eastAsia="Cambria Math"/>
                      <w:bCs/>
                      <w:i/>
                    </w:rPr>
                  </m:ctrlPr>
                </m:sub>
              </m:sSub>
            </m:oMath>
            <w:r>
              <w:rPr>
                <w:bCs/>
                <w:color w:val="000000"/>
              </w:rPr>
              <w:t>—距靶点1m处的最大剂量率，µSv/h；</w:t>
            </w:r>
          </w:p>
          <w:p>
            <w:pPr>
              <w:spacing w:line="360" w:lineRule="auto"/>
              <w:ind w:firstLine="1200" w:firstLineChars="500"/>
              <w:jc w:val="left"/>
              <w:rPr>
                <w:bCs/>
                <w:color w:val="000000"/>
              </w:rPr>
            </w:pPr>
            <m:oMath>
              <m:r>
                <m:rPr/>
                <w:rPr>
                  <w:rFonts w:ascii="Cambria Math" w:hAnsi="Cambria Math" w:eastAsia="等线"/>
                </w:rPr>
                <m:t>α</m:t>
              </m:r>
            </m:oMath>
            <w:r>
              <w:rPr>
                <w:bCs/>
                <w:color w:val="000000"/>
              </w:rPr>
              <w:t>—患者对X射线的散射比，取0.001</w:t>
            </w:r>
            <w:r>
              <w:rPr>
                <w:rFonts w:hint="eastAsia"/>
                <w:bCs/>
                <w:color w:val="000000"/>
              </w:rPr>
              <w:t>5</w:t>
            </w:r>
            <w:r>
              <w:rPr>
                <w:bCs/>
                <w:color w:val="000000"/>
              </w:rPr>
              <w:t>（90°散射，相对于400cm</w:t>
            </w:r>
            <w:r>
              <w:rPr>
                <w:bCs/>
                <w:color w:val="000000"/>
                <w:vertAlign w:val="superscript"/>
              </w:rPr>
              <w:t>2</w:t>
            </w:r>
            <w:r>
              <w:rPr>
                <w:bCs/>
                <w:color w:val="000000"/>
              </w:rPr>
              <w:t>散射面积），取自《辐射防护手册第一分册》P437表10.1；</w:t>
            </w:r>
          </w:p>
          <w:p>
            <w:pPr>
              <w:spacing w:line="360" w:lineRule="auto"/>
              <w:ind w:firstLine="1200" w:firstLineChars="500"/>
              <w:jc w:val="left"/>
              <w:rPr>
                <w:bCs/>
                <w:color w:val="000000"/>
              </w:rPr>
            </w:pPr>
            <m:oMath>
              <m:r>
                <m:rPr/>
                <w:rPr>
                  <w:rFonts w:ascii="Cambria Math" w:hAnsi="Cambria Math" w:eastAsia="等线"/>
                </w:rPr>
                <m:t>S</m:t>
              </m:r>
            </m:oMath>
            <w:r>
              <w:rPr>
                <w:bCs/>
                <w:color w:val="000000"/>
              </w:rPr>
              <w:t>—散射面积，取典型值400cm</w:t>
            </w:r>
            <w:r>
              <w:rPr>
                <w:bCs/>
                <w:color w:val="000000"/>
                <w:vertAlign w:val="superscript"/>
              </w:rPr>
              <w:t>2</w:t>
            </w:r>
            <w:r>
              <w:rPr>
                <w:bCs/>
                <w:color w:val="000000"/>
              </w:rPr>
              <w:t>；</w:t>
            </w:r>
          </w:p>
          <w:p>
            <w:pPr>
              <w:spacing w:line="360" w:lineRule="auto"/>
              <w:ind w:firstLine="1200" w:firstLineChars="500"/>
              <w:jc w:val="left"/>
              <w:rPr>
                <w:bCs/>
                <w:color w:val="000000"/>
              </w:rPr>
            </w:pPr>
            <m:oMath>
              <m:sSub>
                <m:sSubPr>
                  <m:ctrlPr>
                    <w:rPr>
                      <w:rFonts w:ascii="Cambria Math" w:hAnsi="Cambria Math" w:eastAsia="Cambria Math"/>
                      <w:bCs/>
                      <w:i/>
                    </w:rPr>
                  </m:ctrlPr>
                </m:sSubPr>
                <m:e>
                  <m:r>
                    <m:rPr/>
                    <w:rPr>
                      <w:rFonts w:ascii="Cambria Math" w:hAnsi="Cambria Math" w:eastAsia="等线"/>
                    </w:rPr>
                    <m:t>d</m:t>
                  </m:r>
                  <m:ctrlPr>
                    <w:rPr>
                      <w:rFonts w:ascii="Cambria Math" w:hAnsi="Cambria Math" w:eastAsia="Cambria Math"/>
                      <w:bCs/>
                      <w:i/>
                    </w:rPr>
                  </m:ctrlPr>
                </m:e>
                <m:sub>
                  <m:r>
                    <m:rPr/>
                    <w:rPr>
                      <w:rFonts w:ascii="Cambria Math" w:hAnsi="Cambria Math" w:eastAsia="等线"/>
                    </w:rPr>
                    <m:t>0</m:t>
                  </m:r>
                  <m:ctrlPr>
                    <w:rPr>
                      <w:rFonts w:ascii="Cambria Math" w:hAnsi="Cambria Math" w:eastAsia="Cambria Math"/>
                      <w:bCs/>
                      <w:i/>
                    </w:rPr>
                  </m:ctrlPr>
                </m:sub>
              </m:sSub>
            </m:oMath>
            <w:r>
              <w:rPr>
                <w:bCs/>
                <w:color w:val="000000"/>
              </w:rPr>
              <w:t>—源与患者的距离，</w:t>
            </w:r>
            <w:r>
              <w:rPr>
                <w:rFonts w:hint="eastAsia"/>
                <w:bCs/>
                <w:color w:val="000000"/>
              </w:rPr>
              <w:t>0.</w:t>
            </w:r>
            <w:r>
              <w:rPr>
                <w:bCs/>
                <w:color w:val="000000"/>
              </w:rPr>
              <w:t>5m；</w:t>
            </w:r>
          </w:p>
          <w:p>
            <w:pPr>
              <w:spacing w:line="360" w:lineRule="auto"/>
              <w:ind w:firstLine="1200" w:firstLineChars="500"/>
              <w:jc w:val="left"/>
              <w:rPr>
                <w:bCs/>
                <w:color w:val="000000"/>
              </w:rPr>
            </w:pPr>
            <m:oMath>
              <m:sSub>
                <m:sSubPr>
                  <m:ctrlPr>
                    <w:rPr>
                      <w:rFonts w:ascii="Cambria Math" w:hAnsi="Cambria Math" w:eastAsia="Cambria Math"/>
                      <w:bCs/>
                      <w:i/>
                    </w:rPr>
                  </m:ctrlPr>
                </m:sSubPr>
                <m:e>
                  <m:r>
                    <m:rPr/>
                    <w:rPr>
                      <w:rFonts w:ascii="Cambria Math" w:hAnsi="Cambria Math" w:eastAsia="等线"/>
                    </w:rPr>
                    <m:t>d</m:t>
                  </m:r>
                  <m:ctrlPr>
                    <w:rPr>
                      <w:rFonts w:ascii="Cambria Math" w:hAnsi="Cambria Math" w:eastAsia="Cambria Math"/>
                      <w:bCs/>
                      <w:i/>
                    </w:rPr>
                  </m:ctrlPr>
                </m:e>
                <m:sub>
                  <m:r>
                    <m:rPr/>
                    <w:rPr>
                      <w:rFonts w:ascii="Cambria Math" w:hAnsi="Cambria Math" w:eastAsia="等线"/>
                    </w:rPr>
                    <m:t>s</m:t>
                  </m:r>
                  <m:ctrlPr>
                    <w:rPr>
                      <w:rFonts w:ascii="Cambria Math" w:hAnsi="Cambria Math" w:eastAsia="Cambria Math"/>
                      <w:bCs/>
                      <w:i/>
                    </w:rPr>
                  </m:ctrlPr>
                </m:sub>
              </m:sSub>
            </m:oMath>
            <w:r>
              <w:rPr>
                <w:bCs/>
                <w:color w:val="000000"/>
              </w:rPr>
              <w:t>—患者与关注点的距离，m；</w:t>
            </w:r>
          </w:p>
          <w:p>
            <w:pPr>
              <w:spacing w:line="360" w:lineRule="auto"/>
              <w:ind w:firstLine="1200" w:firstLineChars="500"/>
              <w:jc w:val="left"/>
              <w:rPr>
                <w:bCs/>
                <w:color w:val="000000"/>
              </w:rPr>
            </w:pPr>
            <m:oMath>
              <m:r>
                <m:rPr/>
                <w:rPr>
                  <w:rFonts w:ascii="Cambria Math" w:hAnsi="Cambria Math" w:eastAsia="等线"/>
                </w:rPr>
                <m:t>B</m:t>
              </m:r>
            </m:oMath>
            <w:r>
              <w:rPr>
                <w:bCs/>
                <w:color w:val="000000"/>
              </w:rPr>
              <w:t>—屏蔽透射因子，按式11-2计算</w:t>
            </w:r>
            <w:r>
              <w:rPr>
                <w:rFonts w:hint="eastAsia"/>
                <w:bCs/>
                <w:color w:val="000000"/>
              </w:rPr>
              <w:t>。</w:t>
            </w:r>
          </w:p>
          <w:p>
            <w:pPr>
              <w:ind w:firstLine="480" w:firstLineChars="200"/>
              <w:rPr>
                <w:bCs/>
                <w:color w:val="000000"/>
              </w:rPr>
            </w:pPr>
            <w:r>
              <w:rPr>
                <w:bCs/>
                <w:color w:val="000000"/>
              </w:rPr>
              <w:t>α、β、γ为铅对X射线辐射衰减有关</w:t>
            </w:r>
            <w:r>
              <w:rPr>
                <w:rFonts w:hint="eastAsia"/>
                <w:bCs/>
                <w:color w:val="000000"/>
              </w:rPr>
              <w:t>的</w:t>
            </w:r>
            <w:r>
              <w:rPr>
                <w:bCs/>
                <w:color w:val="000000"/>
              </w:rPr>
              <w:t>拟合参数，见表11-1。</w:t>
            </w:r>
          </w:p>
          <w:p>
            <w:pPr>
              <w:jc w:val="center"/>
              <w:rPr>
                <w:rFonts w:ascii="宋体" w:hAnsi="宋体"/>
                <w:b/>
                <w:color w:val="000000"/>
                <w:kern w:val="0"/>
                <w:sz w:val="21"/>
                <w:szCs w:val="21"/>
              </w:rPr>
            </w:pPr>
            <w:r>
              <w:rPr>
                <w:rFonts w:ascii="宋体" w:hAnsi="宋体"/>
                <w:b/>
                <w:color w:val="000000"/>
                <w:kern w:val="0"/>
                <w:sz w:val="21"/>
                <w:szCs w:val="21"/>
              </w:rPr>
              <w:t>表11-1  X射线辐射衰减的有关的拟合参数</w:t>
            </w:r>
          </w:p>
          <w:tbl>
            <w:tblPr>
              <w:tblStyle w:val="16"/>
              <w:tblW w:w="824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2"/>
              <w:gridCol w:w="1632"/>
              <w:gridCol w:w="1632"/>
              <w:gridCol w:w="1632"/>
              <w:gridCol w:w="17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632" w:type="dxa"/>
                  <w:vMerge w:val="restart"/>
                  <w:tcBorders>
                    <w:top w:val="single" w:color="auto" w:sz="12" w:space="0"/>
                  </w:tcBorders>
                  <w:shd w:val="clear" w:color="auto" w:fill="auto"/>
                  <w:vAlign w:val="center"/>
                </w:tcPr>
                <w:p>
                  <w:pPr>
                    <w:jc w:val="center"/>
                    <w:rPr>
                      <w:bCs/>
                      <w:color w:val="000000"/>
                      <w:sz w:val="21"/>
                      <w:szCs w:val="21"/>
                    </w:rPr>
                  </w:pPr>
                  <w:r>
                    <w:rPr>
                      <w:bCs/>
                      <w:color w:val="000000"/>
                      <w:sz w:val="21"/>
                      <w:szCs w:val="21"/>
                    </w:rPr>
                    <w:t>管电压</w:t>
                  </w:r>
                </w:p>
              </w:tc>
              <w:tc>
                <w:tcPr>
                  <w:tcW w:w="1632" w:type="dxa"/>
                  <w:vMerge w:val="restart"/>
                  <w:tcBorders>
                    <w:top w:val="single" w:color="auto" w:sz="12" w:space="0"/>
                  </w:tcBorders>
                  <w:shd w:val="clear" w:color="auto" w:fill="auto"/>
                  <w:vAlign w:val="center"/>
                </w:tcPr>
                <w:p>
                  <w:pPr>
                    <w:jc w:val="center"/>
                    <w:rPr>
                      <w:bCs/>
                      <w:color w:val="000000"/>
                      <w:sz w:val="21"/>
                      <w:szCs w:val="21"/>
                    </w:rPr>
                  </w:pPr>
                  <w:r>
                    <w:rPr>
                      <w:bCs/>
                      <w:color w:val="000000"/>
                      <w:sz w:val="21"/>
                      <w:szCs w:val="21"/>
                    </w:rPr>
                    <w:t>材料</w:t>
                  </w:r>
                </w:p>
              </w:tc>
              <w:tc>
                <w:tcPr>
                  <w:tcW w:w="4984" w:type="dxa"/>
                  <w:gridSpan w:val="3"/>
                  <w:tcBorders>
                    <w:top w:val="single" w:color="auto" w:sz="12" w:space="0"/>
                  </w:tcBorders>
                  <w:shd w:val="clear" w:color="auto" w:fill="auto"/>
                  <w:vAlign w:val="center"/>
                </w:tcPr>
                <w:p>
                  <w:pPr>
                    <w:jc w:val="center"/>
                    <w:rPr>
                      <w:bCs/>
                      <w:color w:val="000000"/>
                      <w:sz w:val="21"/>
                      <w:szCs w:val="21"/>
                    </w:rPr>
                  </w:pPr>
                  <w:r>
                    <w:rPr>
                      <w:bCs/>
                      <w:color w:val="000000"/>
                      <w:sz w:val="21"/>
                      <w:szCs w:val="21"/>
                    </w:rPr>
                    <w:t>参数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632" w:type="dxa"/>
                  <w:vMerge w:val="continue"/>
                  <w:tcBorders>
                    <w:bottom w:val="single" w:color="auto" w:sz="12" w:space="0"/>
                  </w:tcBorders>
                  <w:shd w:val="clear" w:color="auto" w:fill="auto"/>
                  <w:vAlign w:val="center"/>
                </w:tcPr>
                <w:p>
                  <w:pPr>
                    <w:jc w:val="center"/>
                    <w:rPr>
                      <w:bCs/>
                      <w:color w:val="000000"/>
                      <w:sz w:val="21"/>
                      <w:szCs w:val="21"/>
                    </w:rPr>
                  </w:pPr>
                </w:p>
              </w:tc>
              <w:tc>
                <w:tcPr>
                  <w:tcW w:w="1632" w:type="dxa"/>
                  <w:vMerge w:val="continue"/>
                  <w:tcBorders>
                    <w:bottom w:val="single" w:color="auto" w:sz="12" w:space="0"/>
                  </w:tcBorders>
                  <w:shd w:val="clear" w:color="auto" w:fill="auto"/>
                  <w:vAlign w:val="center"/>
                </w:tcPr>
                <w:p>
                  <w:pPr>
                    <w:jc w:val="center"/>
                    <w:rPr>
                      <w:bCs/>
                      <w:color w:val="000000"/>
                      <w:sz w:val="21"/>
                      <w:szCs w:val="21"/>
                    </w:rPr>
                  </w:pPr>
                </w:p>
              </w:tc>
              <w:tc>
                <w:tcPr>
                  <w:tcW w:w="1632" w:type="dxa"/>
                  <w:tcBorders>
                    <w:bottom w:val="single" w:color="auto" w:sz="12" w:space="0"/>
                  </w:tcBorders>
                  <w:shd w:val="clear" w:color="auto" w:fill="auto"/>
                  <w:vAlign w:val="center"/>
                </w:tcPr>
                <w:p>
                  <w:pPr>
                    <w:jc w:val="center"/>
                    <w:rPr>
                      <w:bCs/>
                      <w:color w:val="000000"/>
                      <w:sz w:val="21"/>
                      <w:szCs w:val="21"/>
                    </w:rPr>
                  </w:pPr>
                  <w:r>
                    <w:rPr>
                      <w:bCs/>
                      <w:color w:val="000000"/>
                      <w:sz w:val="21"/>
                      <w:szCs w:val="21"/>
                    </w:rPr>
                    <w:t>α</w:t>
                  </w:r>
                </w:p>
              </w:tc>
              <w:tc>
                <w:tcPr>
                  <w:tcW w:w="1632" w:type="dxa"/>
                  <w:tcBorders>
                    <w:bottom w:val="single" w:color="auto" w:sz="12" w:space="0"/>
                  </w:tcBorders>
                  <w:shd w:val="clear" w:color="auto" w:fill="auto"/>
                  <w:vAlign w:val="center"/>
                </w:tcPr>
                <w:p>
                  <w:pPr>
                    <w:jc w:val="center"/>
                    <w:rPr>
                      <w:bCs/>
                      <w:color w:val="000000"/>
                      <w:sz w:val="21"/>
                      <w:szCs w:val="21"/>
                    </w:rPr>
                  </w:pPr>
                  <w:r>
                    <w:rPr>
                      <w:bCs/>
                      <w:color w:val="000000"/>
                      <w:sz w:val="21"/>
                      <w:szCs w:val="21"/>
                    </w:rPr>
                    <w:t>β</w:t>
                  </w:r>
                </w:p>
              </w:tc>
              <w:tc>
                <w:tcPr>
                  <w:tcW w:w="1720" w:type="dxa"/>
                  <w:tcBorders>
                    <w:bottom w:val="single" w:color="auto" w:sz="12" w:space="0"/>
                  </w:tcBorders>
                  <w:shd w:val="clear" w:color="auto" w:fill="auto"/>
                  <w:vAlign w:val="center"/>
                </w:tcPr>
                <w:p>
                  <w:pPr>
                    <w:jc w:val="center"/>
                    <w:rPr>
                      <w:bCs/>
                      <w:color w:val="000000"/>
                      <w:sz w:val="21"/>
                      <w:szCs w:val="21"/>
                    </w:rPr>
                  </w:pPr>
                  <w:r>
                    <w:rPr>
                      <w:bCs/>
                      <w:color w:val="000000"/>
                      <w:sz w:val="21"/>
                      <w:szCs w:val="21"/>
                    </w:rPr>
                    <w:t>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632" w:type="dxa"/>
                  <w:tcBorders>
                    <w:top w:val="single" w:color="auto" w:sz="12" w:space="0"/>
                    <w:left w:val="nil"/>
                    <w:tl2br w:val="nil"/>
                    <w:tr2bl w:val="nil"/>
                  </w:tcBorders>
                  <w:vAlign w:val="center"/>
                </w:tcPr>
                <w:p>
                  <w:pPr>
                    <w:jc w:val="center"/>
                    <w:rPr>
                      <w:bCs/>
                      <w:color w:val="000000"/>
                      <w:sz w:val="21"/>
                      <w:szCs w:val="21"/>
                    </w:rPr>
                  </w:pPr>
                  <w:r>
                    <w:rPr>
                      <w:sz w:val="21"/>
                      <w:szCs w:val="21"/>
                    </w:rPr>
                    <w:t>125kV</w:t>
                  </w:r>
                </w:p>
              </w:tc>
              <w:tc>
                <w:tcPr>
                  <w:tcW w:w="1632" w:type="dxa"/>
                  <w:tcBorders>
                    <w:top w:val="single" w:color="auto" w:sz="12" w:space="0"/>
                    <w:bottom w:val="single" w:color="auto" w:sz="4" w:space="0"/>
                  </w:tcBorders>
                  <w:shd w:val="clear" w:color="auto" w:fill="auto"/>
                  <w:vAlign w:val="center"/>
                </w:tcPr>
                <w:p>
                  <w:pPr>
                    <w:jc w:val="center"/>
                    <w:rPr>
                      <w:bCs/>
                      <w:color w:val="000000"/>
                      <w:sz w:val="21"/>
                      <w:szCs w:val="21"/>
                    </w:rPr>
                  </w:pPr>
                  <w:r>
                    <w:rPr>
                      <w:rFonts w:hint="eastAsia"/>
                      <w:bCs/>
                      <w:color w:val="000000"/>
                      <w:sz w:val="21"/>
                      <w:szCs w:val="21"/>
                    </w:rPr>
                    <w:t>铅</w:t>
                  </w:r>
                </w:p>
              </w:tc>
              <w:tc>
                <w:tcPr>
                  <w:tcW w:w="1632" w:type="dxa"/>
                  <w:tcBorders>
                    <w:top w:val="single" w:color="auto" w:sz="12" w:space="0"/>
                    <w:bottom w:val="single" w:color="auto" w:sz="4" w:space="0"/>
                  </w:tcBorders>
                  <w:shd w:val="clear" w:color="auto" w:fill="auto"/>
                  <w:vAlign w:val="center"/>
                </w:tcPr>
                <w:p>
                  <w:pPr>
                    <w:jc w:val="center"/>
                    <w:rPr>
                      <w:bCs/>
                      <w:color w:val="000000"/>
                      <w:sz w:val="21"/>
                      <w:szCs w:val="21"/>
                    </w:rPr>
                  </w:pPr>
                  <w:r>
                    <w:rPr>
                      <w:bCs/>
                      <w:color w:val="000000"/>
                      <w:sz w:val="21"/>
                      <w:szCs w:val="21"/>
                    </w:rPr>
                    <w:t>2.219</w:t>
                  </w:r>
                </w:p>
              </w:tc>
              <w:tc>
                <w:tcPr>
                  <w:tcW w:w="1632" w:type="dxa"/>
                  <w:tcBorders>
                    <w:top w:val="single" w:color="auto" w:sz="12" w:space="0"/>
                    <w:bottom w:val="single" w:color="auto" w:sz="4" w:space="0"/>
                  </w:tcBorders>
                  <w:shd w:val="clear" w:color="auto" w:fill="auto"/>
                  <w:vAlign w:val="center"/>
                </w:tcPr>
                <w:p>
                  <w:pPr>
                    <w:jc w:val="center"/>
                    <w:rPr>
                      <w:bCs/>
                      <w:color w:val="000000"/>
                      <w:sz w:val="21"/>
                      <w:szCs w:val="21"/>
                    </w:rPr>
                  </w:pPr>
                  <w:r>
                    <w:rPr>
                      <w:bCs/>
                      <w:color w:val="000000"/>
                      <w:sz w:val="21"/>
                      <w:szCs w:val="21"/>
                    </w:rPr>
                    <w:t>7.923</w:t>
                  </w:r>
                </w:p>
              </w:tc>
              <w:tc>
                <w:tcPr>
                  <w:tcW w:w="1720" w:type="dxa"/>
                  <w:tcBorders>
                    <w:top w:val="single" w:color="auto" w:sz="12" w:space="0"/>
                    <w:bottom w:val="single" w:color="auto" w:sz="4" w:space="0"/>
                  </w:tcBorders>
                  <w:shd w:val="clear" w:color="auto" w:fill="auto"/>
                  <w:vAlign w:val="center"/>
                </w:tcPr>
                <w:p>
                  <w:pPr>
                    <w:jc w:val="center"/>
                    <w:rPr>
                      <w:bCs/>
                      <w:color w:val="000000"/>
                      <w:sz w:val="21"/>
                      <w:szCs w:val="21"/>
                    </w:rPr>
                  </w:pPr>
                  <w:r>
                    <w:rPr>
                      <w:bCs/>
                      <w:color w:val="000000"/>
                      <w:sz w:val="21"/>
                      <w:szCs w:val="21"/>
                    </w:rPr>
                    <w:t>0.5386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248" w:type="dxa"/>
                  <w:gridSpan w:val="5"/>
                  <w:tcBorders>
                    <w:bottom w:val="single" w:color="auto" w:sz="12" w:space="0"/>
                  </w:tcBorders>
                  <w:shd w:val="clear" w:color="auto" w:fill="auto"/>
                  <w:vAlign w:val="center"/>
                </w:tcPr>
                <w:p>
                  <w:pPr>
                    <w:rPr>
                      <w:bCs/>
                      <w:color w:val="000000"/>
                      <w:sz w:val="21"/>
                      <w:szCs w:val="21"/>
                    </w:rPr>
                  </w:pPr>
                  <w:r>
                    <w:rPr>
                      <w:bCs/>
                      <w:color w:val="000000"/>
                      <w:sz w:val="21"/>
                      <w:szCs w:val="21"/>
                    </w:rPr>
                    <w:t>注：α、β、γ取值参考《放射诊断放射防护要求》（GBZ130-2020）附录</w:t>
                  </w:r>
                  <w:r>
                    <w:rPr>
                      <w:rFonts w:hint="eastAsia"/>
                      <w:bCs/>
                      <w:color w:val="000000"/>
                      <w:sz w:val="21"/>
                      <w:szCs w:val="21"/>
                    </w:rPr>
                    <w:t>C</w:t>
                  </w:r>
                </w:p>
              </w:tc>
            </w:tr>
          </w:tbl>
          <w:p>
            <w:pPr>
              <w:spacing w:line="360" w:lineRule="auto"/>
              <w:ind w:firstLine="480"/>
            </w:pPr>
            <w:r>
              <w:t>（2）关注</w:t>
            </w:r>
            <w:r>
              <w:rPr>
                <w:rFonts w:hint="eastAsia"/>
              </w:rPr>
              <w:t>点设定</w:t>
            </w:r>
          </w:p>
          <w:p>
            <w:pPr>
              <w:spacing w:line="360" w:lineRule="auto"/>
              <w:ind w:firstLine="480"/>
            </w:pPr>
            <w:r>
              <w:rPr>
                <w:rFonts w:hint="eastAsia"/>
              </w:rPr>
              <w:t>本次</w:t>
            </w:r>
            <w:r>
              <w:t>评价</w:t>
            </w:r>
            <w:r>
              <w:rPr>
                <w:rFonts w:hint="eastAsia"/>
              </w:rPr>
              <w:t>对</w:t>
            </w:r>
            <w:r>
              <w:t>DSA手术室实体</w:t>
            </w:r>
            <w:r>
              <w:rPr>
                <w:rFonts w:hint="eastAsia"/>
              </w:rPr>
              <w:t>屏蔽体</w:t>
            </w:r>
            <w:r>
              <w:t>外人员活动区域</w:t>
            </w:r>
            <w:r>
              <w:rPr>
                <w:rFonts w:hint="eastAsia"/>
              </w:rPr>
              <w:t>设置</w:t>
            </w:r>
            <w:r>
              <w:t>关注</w:t>
            </w:r>
            <w:r>
              <w:rPr>
                <w:rFonts w:hint="eastAsia"/>
              </w:rPr>
              <w:t>点</w:t>
            </w:r>
            <w:r>
              <w:t>；对于同室近台操作人员，由于人员所处位置不固定，防护水平及距射线源距离均有所不同，评价选取</w:t>
            </w:r>
            <w:r>
              <w:rPr>
                <w:rFonts w:hint="eastAsia"/>
              </w:rPr>
              <w:t>介入医生位置</w:t>
            </w:r>
            <w:r>
              <w:t>、</w:t>
            </w:r>
            <w:r>
              <w:rPr>
                <w:rFonts w:hint="eastAsia"/>
              </w:rPr>
              <w:t>介入护士位置</w:t>
            </w:r>
            <w:r>
              <w:t>作为DSA手术</w:t>
            </w:r>
            <w:r>
              <w:rPr>
                <w:rFonts w:hint="eastAsia"/>
              </w:rPr>
              <w:t>关注点位</w:t>
            </w:r>
            <w:r>
              <w:t>。</w:t>
            </w:r>
          </w:p>
          <w:p>
            <w:pPr>
              <w:spacing w:line="360" w:lineRule="auto"/>
              <w:ind w:firstLine="480"/>
            </w:pPr>
            <w:r>
              <w:t>根据场所布局情况，</w:t>
            </w:r>
            <w:r>
              <w:rPr>
                <w:rFonts w:hint="eastAsia"/>
              </w:rPr>
              <w:t>本次</w:t>
            </w:r>
            <w:r>
              <w:t>评价选取</w:t>
            </w:r>
            <w:r>
              <w:rPr>
                <w:rFonts w:hint="eastAsia"/>
              </w:rPr>
              <w:t>操作间医护出入防护门外表面</w:t>
            </w:r>
            <w:r>
              <w:t>30cm处（A点</w:t>
            </w:r>
            <w:r>
              <w:rPr>
                <w:rFonts w:hint="eastAsia"/>
              </w:rPr>
              <w:t>，操作间</w:t>
            </w:r>
            <w:r>
              <w:t>）、介入手术室</w:t>
            </w:r>
            <w:r>
              <w:rPr>
                <w:rFonts w:hint="eastAsia"/>
              </w:rPr>
              <w:t>北</w:t>
            </w:r>
            <w:r>
              <w:t>墙外</w:t>
            </w:r>
            <w:r>
              <w:rPr>
                <w:rFonts w:hint="eastAsia"/>
              </w:rPr>
              <w:t>表面</w:t>
            </w:r>
            <w:r>
              <w:t>30cm处（B点</w:t>
            </w:r>
            <w:r>
              <w:rPr>
                <w:rFonts w:hint="eastAsia"/>
              </w:rPr>
              <w:t>，操作间</w:t>
            </w:r>
            <w:r>
              <w:t>）</w:t>
            </w:r>
            <w:r>
              <w:rPr>
                <w:rFonts w:hint="eastAsia"/>
              </w:rPr>
              <w:t>、操作间观察窗</w:t>
            </w:r>
            <w:r>
              <w:t>外</w:t>
            </w:r>
            <w:r>
              <w:rPr>
                <w:rFonts w:hint="eastAsia"/>
              </w:rPr>
              <w:t>表面</w:t>
            </w:r>
            <w:r>
              <w:t>30cm处（C点</w:t>
            </w:r>
            <w:r>
              <w:rPr>
                <w:rFonts w:hint="eastAsia"/>
              </w:rPr>
              <w:t>，操作间</w:t>
            </w:r>
            <w:r>
              <w:t>）</w:t>
            </w:r>
            <w:r>
              <w:rPr>
                <w:rFonts w:hint="eastAsia"/>
              </w:rPr>
              <w:t>、介入手术室北墙外表面30cm处（D点，C</w:t>
            </w:r>
            <w:r>
              <w:t>T</w:t>
            </w:r>
            <w:r>
              <w:rPr>
                <w:rFonts w:hint="eastAsia"/>
              </w:rPr>
              <w:t>机房）</w:t>
            </w:r>
            <w:r>
              <w:t>、</w:t>
            </w:r>
            <w:r>
              <w:rPr>
                <w:rFonts w:hint="eastAsia"/>
              </w:rPr>
              <w:t>应急通道门</w:t>
            </w:r>
            <w:r>
              <w:t>外</w:t>
            </w:r>
            <w:r>
              <w:rPr>
                <w:rFonts w:hint="eastAsia"/>
              </w:rPr>
              <w:t>表面</w:t>
            </w:r>
            <w:r>
              <w:t>30cm处（E点</w:t>
            </w:r>
            <w:r>
              <w:rPr>
                <w:rFonts w:hint="eastAsia"/>
              </w:rPr>
              <w:t>、走廊</w:t>
            </w:r>
            <w:r>
              <w:t>）、介入手术室</w:t>
            </w:r>
            <w:r>
              <w:rPr>
                <w:rFonts w:hint="eastAsia"/>
              </w:rPr>
              <w:t>东</w:t>
            </w:r>
            <w:r>
              <w:t>墙外</w:t>
            </w:r>
            <w:r>
              <w:rPr>
                <w:rFonts w:hint="eastAsia"/>
              </w:rPr>
              <w:t>表面</w:t>
            </w:r>
            <w:r>
              <w:t>30cm处（F点</w:t>
            </w:r>
            <w:r>
              <w:rPr>
                <w:rFonts w:hint="eastAsia"/>
              </w:rPr>
              <w:t>、设备间</w:t>
            </w:r>
            <w:r>
              <w:t>）、介入手术室</w:t>
            </w:r>
            <w:r>
              <w:rPr>
                <w:rFonts w:hint="eastAsia"/>
              </w:rPr>
              <w:t>南</w:t>
            </w:r>
            <w:r>
              <w:t>墙外</w:t>
            </w:r>
            <w:r>
              <w:rPr>
                <w:rFonts w:hint="eastAsia"/>
              </w:rPr>
              <w:t>表面</w:t>
            </w:r>
            <w:r>
              <w:t>30cm处（G点</w:t>
            </w:r>
            <w:r>
              <w:rPr>
                <w:rFonts w:hint="eastAsia"/>
              </w:rPr>
              <w:t>，走廊</w:t>
            </w:r>
            <w:r>
              <w:t>）、</w:t>
            </w:r>
            <w:r>
              <w:rPr>
                <w:rFonts w:hint="eastAsia"/>
              </w:rPr>
              <w:t>污物</w:t>
            </w:r>
            <w:r>
              <w:t>出入</w:t>
            </w:r>
            <w:r>
              <w:rPr>
                <w:rFonts w:hint="eastAsia"/>
              </w:rPr>
              <w:t>防护</w:t>
            </w:r>
            <w:r>
              <w:t>门外</w:t>
            </w:r>
            <w:r>
              <w:rPr>
                <w:rFonts w:hint="eastAsia"/>
              </w:rPr>
              <w:t>表面</w:t>
            </w:r>
            <w:r>
              <w:t>30cm处（H点</w:t>
            </w:r>
            <w:r>
              <w:rPr>
                <w:rFonts w:hint="eastAsia"/>
              </w:rPr>
              <w:t>，污物间</w:t>
            </w:r>
            <w:r>
              <w:t>）、</w:t>
            </w:r>
            <w:r>
              <w:rPr>
                <w:rFonts w:hint="eastAsia"/>
              </w:rPr>
              <w:t>介入手术室西墙外表面30cm处（I点，缓冲间）、患者出入</w:t>
            </w:r>
            <w:r>
              <w:t>防护门外</w:t>
            </w:r>
            <w:r>
              <w:rPr>
                <w:rFonts w:hint="eastAsia"/>
              </w:rPr>
              <w:t>表面</w:t>
            </w:r>
            <w:r>
              <w:t>30cm处（J点</w:t>
            </w:r>
            <w:r>
              <w:rPr>
                <w:rFonts w:hint="eastAsia"/>
              </w:rPr>
              <w:t>，缓冲间</w:t>
            </w:r>
            <w:r>
              <w:t>）、介入手术室顶棚地面1m高度处（</w:t>
            </w:r>
            <w:r>
              <w:rPr>
                <w:rFonts w:hint="eastAsia"/>
              </w:rPr>
              <w:t>K</w:t>
            </w:r>
            <w:r>
              <w:t>点</w:t>
            </w:r>
            <w:r>
              <w:rPr>
                <w:rFonts w:hint="eastAsia"/>
              </w:rPr>
              <w:t>，办公室</w:t>
            </w:r>
            <w:r>
              <w:t>）</w:t>
            </w:r>
            <w:r>
              <w:rPr>
                <w:rFonts w:hint="eastAsia"/>
              </w:rPr>
              <w:t>，</w:t>
            </w:r>
            <w:r>
              <w:t>对泄漏辐射和散射辐射做出预测分析</w:t>
            </w:r>
            <w:r>
              <w:rPr>
                <w:rFonts w:hint="eastAsia"/>
              </w:rPr>
              <w:t>（DSA手术室楼下为医院配电间，平时无人到达故未选取关注点）</w:t>
            </w:r>
            <w:r>
              <w:t>。</w:t>
            </w:r>
          </w:p>
          <w:p>
            <w:pPr>
              <w:spacing w:line="360" w:lineRule="auto"/>
              <w:ind w:firstLine="480"/>
            </w:pPr>
            <w:r>
              <w:drawing>
                <wp:anchor distT="0" distB="0" distL="114300" distR="114300" simplePos="0" relativeHeight="251677696" behindDoc="0" locked="0" layoutInCell="1" allowOverlap="1">
                  <wp:simplePos x="0" y="0"/>
                  <wp:positionH relativeFrom="column">
                    <wp:posOffset>229870</wp:posOffset>
                  </wp:positionH>
                  <wp:positionV relativeFrom="paragraph">
                    <wp:posOffset>1365885</wp:posOffset>
                  </wp:positionV>
                  <wp:extent cx="4967605" cy="4371975"/>
                  <wp:effectExtent l="0" t="0" r="4445" b="9525"/>
                  <wp:wrapTopAndBottom/>
                  <wp:docPr id="1094940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40779"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967605" cy="4371975"/>
                          </a:xfrm>
                          <a:prstGeom prst="rect">
                            <a:avLst/>
                          </a:prstGeom>
                          <a:noFill/>
                          <a:ln>
                            <a:noFill/>
                          </a:ln>
                        </pic:spPr>
                      </pic:pic>
                    </a:graphicData>
                  </a:graphic>
                </wp:anchor>
              </w:drawing>
            </w:r>
            <w:r>
              <w:t>本项目各关注点分布示意图如图11-1所示。同时根据建设单位提供资料，本项目DSA手术室内部固定手术床，手术过程中医用血管造影X射线机（DSA）固定在手术室中间，</w:t>
            </w:r>
            <w:r>
              <w:rPr>
                <w:rFonts w:hint="eastAsia"/>
              </w:rPr>
              <w:t>本次主要</w:t>
            </w:r>
            <w:r>
              <w:t>对DSA</w:t>
            </w:r>
            <w:r>
              <w:rPr>
                <w:rFonts w:hint="eastAsia"/>
              </w:rPr>
              <w:t>运行时产生的</w:t>
            </w:r>
            <w:r>
              <w:t>泄漏辐射和散射辐射</w:t>
            </w:r>
            <w:r>
              <w:rPr>
                <w:rFonts w:hint="eastAsia"/>
              </w:rPr>
              <w:t>对手术室周边环境的影响</w:t>
            </w:r>
            <w:r>
              <w:t>做出预测分析。</w:t>
            </w:r>
          </w:p>
          <w:p>
            <w:pPr>
              <w:pStyle w:val="46"/>
              <w:spacing w:before="0" w:line="240" w:lineRule="auto"/>
              <w:rPr>
                <w:rFonts w:hAnsi="Times New Roman"/>
                <w:b/>
                <w:color w:val="000000"/>
              </w:rPr>
            </w:pPr>
            <w:r>
              <w:rPr>
                <w:rFonts w:hAnsi="Times New Roman"/>
                <w:b/>
                <w:color w:val="000000"/>
              </w:rPr>
              <w:t>图11-1  DSA手术室</w:t>
            </w:r>
            <w:r>
              <w:rPr>
                <w:rFonts w:hint="eastAsia" w:hAnsi="Times New Roman"/>
                <w:b/>
                <w:color w:val="000000"/>
              </w:rPr>
              <w:t>各关注</w:t>
            </w:r>
            <w:r>
              <w:rPr>
                <w:rFonts w:hAnsi="Times New Roman"/>
                <w:b/>
                <w:color w:val="000000"/>
              </w:rPr>
              <w:t>点位</w:t>
            </w:r>
            <w:r>
              <w:rPr>
                <w:rFonts w:hint="eastAsia" w:hAnsi="Times New Roman"/>
                <w:b/>
                <w:color w:val="000000"/>
              </w:rPr>
              <w:t>分布</w:t>
            </w:r>
            <w:r>
              <w:rPr>
                <w:rFonts w:hAnsi="Times New Roman"/>
                <w:b/>
                <w:color w:val="000000"/>
              </w:rPr>
              <w:t>图</w:t>
            </w:r>
          </w:p>
        </w:tc>
      </w:tr>
    </w:tbl>
    <w:p>
      <w:pPr>
        <w:rPr>
          <w:b/>
          <w:bCs/>
          <w:color w:val="000000"/>
        </w:rPr>
        <w:sectPr>
          <w:pgSz w:w="11906" w:h="16838"/>
          <w:pgMar w:top="1440" w:right="1440" w:bottom="1440" w:left="1440" w:header="851" w:footer="992" w:gutter="0"/>
          <w:pgBorders>
            <w:top w:val="none" w:sz="0" w:space="0"/>
            <w:left w:val="none" w:sz="0" w:space="0"/>
            <w:bottom w:val="none" w:sz="0" w:space="0"/>
            <w:right w:val="none" w:sz="0" w:space="0"/>
          </w:pgBorders>
          <w:pgNumType w:fmt="numberInDash"/>
          <w:cols w:space="720" w:num="1"/>
          <w:docGrid w:type="lines" w:linePitch="334" w:charSpace="0"/>
        </w:sect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8784" w:type="dxa"/>
          </w:tcPr>
          <w:p>
            <w:pPr>
              <w:rPr>
                <w:sz w:val="21"/>
              </w:rPr>
            </w:pPr>
            <w:bookmarkStart w:id="32" w:name="_Toc501805944"/>
            <w:r>
              <w:t>（3）估算结果</w:t>
            </w:r>
          </w:p>
          <w:p>
            <w:pPr>
              <w:spacing w:line="360" w:lineRule="auto"/>
              <w:ind w:firstLine="480" w:firstLineChars="200"/>
              <w:rPr>
                <w:bCs/>
                <w:color w:val="000000"/>
              </w:rPr>
            </w:pPr>
            <w:r>
              <w:rPr>
                <w:rFonts w:hint="eastAsia" w:ascii="宋体" w:hAnsi="宋体"/>
                <w:bCs/>
                <w:color w:val="000000"/>
              </w:rPr>
              <w:t>①</w:t>
            </w:r>
            <w:r>
              <w:rPr>
                <w:bCs/>
                <w:color w:val="000000"/>
              </w:rPr>
              <w:t>泄漏射线</w:t>
            </w:r>
          </w:p>
          <w:p>
            <w:pPr>
              <w:spacing w:line="360" w:lineRule="auto"/>
              <w:ind w:firstLine="480" w:firstLineChars="200"/>
            </w:pPr>
            <w:r>
              <w:rPr>
                <w:bCs/>
                <w:color w:val="000000"/>
              </w:rPr>
              <w:t>本项目DSA手术室</w:t>
            </w:r>
            <w:r>
              <w:rPr>
                <w:rFonts w:hint="eastAsia"/>
                <w:bCs/>
                <w:color w:val="000000"/>
              </w:rPr>
              <w:t>各屏蔽体体外</w:t>
            </w:r>
            <w:r>
              <w:rPr>
                <w:bCs/>
                <w:color w:val="000000"/>
              </w:rPr>
              <w:t>各关注点泄漏辐射剂量率估算结果见表11-2。</w:t>
            </w:r>
          </w:p>
          <w:p>
            <w:pPr>
              <w:widowControl/>
              <w:jc w:val="center"/>
              <w:rPr>
                <w:rFonts w:ascii="宋体" w:hAnsi="宋体"/>
                <w:b/>
                <w:bCs/>
                <w:sz w:val="21"/>
                <w:szCs w:val="21"/>
              </w:rPr>
            </w:pPr>
            <w:r>
              <w:rPr>
                <w:rFonts w:ascii="宋体" w:hAnsi="宋体"/>
                <w:b/>
                <w:bCs/>
                <w:sz w:val="21"/>
                <w:szCs w:val="21"/>
              </w:rPr>
              <w:t>表</w:t>
            </w:r>
            <w:r>
              <w:rPr>
                <w:b/>
                <w:bCs/>
                <w:sz w:val="21"/>
                <w:szCs w:val="21"/>
              </w:rPr>
              <w:t>11-2  DSA</w:t>
            </w:r>
            <w:r>
              <w:rPr>
                <w:rFonts w:ascii="宋体" w:hAnsi="宋体"/>
                <w:b/>
                <w:bCs/>
                <w:sz w:val="21"/>
                <w:szCs w:val="21"/>
              </w:rPr>
              <w:t>手术室外各关注点泄漏辐射剂量率估算结果</w:t>
            </w:r>
          </w:p>
          <w:tbl>
            <w:tblPr>
              <w:tblStyle w:val="16"/>
              <w:tblW w:w="860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2551"/>
              <w:gridCol w:w="709"/>
              <w:gridCol w:w="851"/>
              <w:gridCol w:w="1275"/>
              <w:gridCol w:w="1418"/>
              <w:gridCol w:w="13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92" w:type="dxa"/>
                  <w:gridSpan w:val="2"/>
                  <w:tcBorders>
                    <w:top w:val="single" w:color="auto" w:sz="12" w:space="0"/>
                    <w:bottom w:val="single" w:color="auto" w:sz="12" w:space="0"/>
                  </w:tcBorders>
                  <w:shd w:val="clear" w:color="auto" w:fill="auto"/>
                  <w:vAlign w:val="center"/>
                </w:tcPr>
                <w:p>
                  <w:pPr>
                    <w:snapToGrid w:val="0"/>
                    <w:jc w:val="center"/>
                    <w:rPr>
                      <w:color w:val="000000"/>
                      <w:sz w:val="21"/>
                      <w:szCs w:val="21"/>
                    </w:rPr>
                  </w:pPr>
                  <w:r>
                    <w:rPr>
                      <w:color w:val="000000"/>
                      <w:sz w:val="21"/>
                      <w:szCs w:val="21"/>
                    </w:rPr>
                    <w:t>关注点位置描述</w:t>
                  </w:r>
                </w:p>
              </w:tc>
              <w:tc>
                <w:tcPr>
                  <w:tcW w:w="709" w:type="dxa"/>
                  <w:tcBorders>
                    <w:top w:val="single" w:color="auto" w:sz="12" w:space="0"/>
                    <w:bottom w:val="single" w:color="auto" w:sz="12" w:space="0"/>
                  </w:tcBorders>
                  <w:shd w:val="clear" w:color="auto" w:fill="auto"/>
                  <w:vAlign w:val="center"/>
                </w:tcPr>
                <w:p>
                  <w:pPr>
                    <w:snapToGrid w:val="0"/>
                    <w:jc w:val="center"/>
                    <w:rPr>
                      <w:color w:val="000000"/>
                      <w:sz w:val="21"/>
                      <w:szCs w:val="21"/>
                    </w:rPr>
                  </w:pPr>
                  <w:r>
                    <w:rPr>
                      <w:color w:val="000000"/>
                      <w:sz w:val="21"/>
                      <w:szCs w:val="21"/>
                    </w:rPr>
                    <w:t>距离R</w:t>
                  </w:r>
                </w:p>
              </w:tc>
              <w:tc>
                <w:tcPr>
                  <w:tcW w:w="851" w:type="dxa"/>
                  <w:tcBorders>
                    <w:top w:val="single" w:color="auto" w:sz="12" w:space="0"/>
                    <w:bottom w:val="single" w:color="auto" w:sz="12" w:space="0"/>
                  </w:tcBorders>
                  <w:shd w:val="clear" w:color="auto" w:fill="auto"/>
                  <w:vAlign w:val="center"/>
                </w:tcPr>
                <w:p>
                  <w:pPr>
                    <w:snapToGrid w:val="0"/>
                    <w:jc w:val="center"/>
                    <w:rPr>
                      <w:color w:val="000000"/>
                      <w:sz w:val="21"/>
                      <w:szCs w:val="21"/>
                    </w:rPr>
                  </w:pPr>
                  <w:r>
                    <w:rPr>
                      <w:color w:val="000000"/>
                      <w:sz w:val="21"/>
                      <w:szCs w:val="21"/>
                    </w:rPr>
                    <w:t>铅当量X</w:t>
                  </w:r>
                </w:p>
              </w:tc>
              <w:tc>
                <w:tcPr>
                  <w:tcW w:w="1275" w:type="dxa"/>
                  <w:tcBorders>
                    <w:top w:val="single" w:color="auto" w:sz="12" w:space="0"/>
                    <w:bottom w:val="single" w:color="auto" w:sz="12" w:space="0"/>
                  </w:tcBorders>
                  <w:shd w:val="clear" w:color="auto" w:fill="auto"/>
                  <w:vAlign w:val="center"/>
                </w:tcPr>
                <w:p>
                  <w:pPr>
                    <w:snapToGrid w:val="0"/>
                    <w:jc w:val="center"/>
                    <w:rPr>
                      <w:color w:val="000000"/>
                      <w:sz w:val="21"/>
                      <w:szCs w:val="21"/>
                    </w:rPr>
                  </w:pPr>
                  <w:r>
                    <w:rPr>
                      <w:color w:val="000000"/>
                      <w:sz w:val="21"/>
                      <w:szCs w:val="21"/>
                    </w:rPr>
                    <w:t>透射因子B</w:t>
                  </w:r>
                </w:p>
              </w:tc>
              <w:tc>
                <w:tcPr>
                  <w:tcW w:w="1418" w:type="dxa"/>
                  <w:tcBorders>
                    <w:top w:val="single" w:color="auto" w:sz="12" w:space="0"/>
                    <w:bottom w:val="single" w:color="auto" w:sz="12" w:space="0"/>
                  </w:tcBorders>
                  <w:shd w:val="clear" w:color="auto" w:fill="auto"/>
                  <w:vAlign w:val="center"/>
                </w:tcPr>
                <w:p>
                  <w:pPr>
                    <w:snapToGrid w:val="0"/>
                    <w:jc w:val="center"/>
                    <w:rPr>
                      <w:color w:val="000000"/>
                      <w:sz w:val="21"/>
                      <w:szCs w:val="21"/>
                    </w:rPr>
                  </w:pPr>
                  <w:r>
                    <w:rPr>
                      <w:color w:val="000000"/>
                      <w:sz w:val="21"/>
                      <w:szCs w:val="21"/>
                    </w:rPr>
                    <w:t>采集状态</w:t>
                  </w:r>
                </w:p>
                <w:p>
                  <w:pPr>
                    <w:snapToGrid w:val="0"/>
                    <w:jc w:val="center"/>
                    <w:rPr>
                      <w:color w:val="000000"/>
                      <w:sz w:val="21"/>
                      <w:szCs w:val="21"/>
                    </w:rPr>
                  </w:pPr>
                  <w:r>
                    <w:rPr>
                      <w:color w:val="000000"/>
                      <w:sz w:val="21"/>
                      <w:szCs w:val="21"/>
                    </w:rPr>
                    <w:t>剂量率</w:t>
                  </w:r>
                </w:p>
              </w:tc>
              <w:tc>
                <w:tcPr>
                  <w:tcW w:w="1357" w:type="dxa"/>
                  <w:tcBorders>
                    <w:top w:val="single" w:color="auto" w:sz="12" w:space="0"/>
                    <w:bottom w:val="single" w:color="auto" w:sz="12" w:space="0"/>
                    <w:right w:val="nil"/>
                  </w:tcBorders>
                  <w:shd w:val="clear" w:color="auto" w:fill="auto"/>
                  <w:vAlign w:val="center"/>
                </w:tcPr>
                <w:p>
                  <w:pPr>
                    <w:snapToGrid w:val="0"/>
                    <w:jc w:val="center"/>
                    <w:rPr>
                      <w:color w:val="000000"/>
                      <w:sz w:val="21"/>
                      <w:szCs w:val="21"/>
                    </w:rPr>
                  </w:pPr>
                  <w:r>
                    <w:rPr>
                      <w:color w:val="000000"/>
                      <w:sz w:val="21"/>
                      <w:szCs w:val="21"/>
                    </w:rPr>
                    <w:t>透视状态</w:t>
                  </w:r>
                </w:p>
                <w:p>
                  <w:pPr>
                    <w:snapToGrid w:val="0"/>
                    <w:jc w:val="center"/>
                    <w:rPr>
                      <w:color w:val="000000"/>
                      <w:sz w:val="21"/>
                      <w:szCs w:val="21"/>
                    </w:rPr>
                  </w:pPr>
                  <w:r>
                    <w:rPr>
                      <w:color w:val="000000"/>
                      <w:sz w:val="21"/>
                      <w:szCs w:val="21"/>
                    </w:rPr>
                    <w:t>剂量率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992" w:type="dxa"/>
                  <w:gridSpan w:val="2"/>
                  <w:tcBorders>
                    <w:top w:val="single" w:color="auto" w:sz="4" w:space="0"/>
                  </w:tcBorders>
                  <w:shd w:val="clear" w:color="auto" w:fill="auto"/>
                  <w:vAlign w:val="center"/>
                </w:tcPr>
                <w:p>
                  <w:pPr>
                    <w:snapToGrid w:val="0"/>
                    <w:jc w:val="center"/>
                    <w:rPr>
                      <w:color w:val="000000"/>
                      <w:sz w:val="21"/>
                      <w:szCs w:val="21"/>
                    </w:rPr>
                  </w:pPr>
                  <w:r>
                    <w:rPr>
                      <w:rFonts w:hint="eastAsia"/>
                      <w:color w:val="000000"/>
                      <w:sz w:val="21"/>
                      <w:szCs w:val="21"/>
                    </w:rPr>
                    <w:t>单位</w:t>
                  </w:r>
                </w:p>
              </w:tc>
              <w:tc>
                <w:tcPr>
                  <w:tcW w:w="709" w:type="dxa"/>
                  <w:tcBorders>
                    <w:top w:val="single" w:color="auto" w:sz="4" w:space="0"/>
                  </w:tcBorders>
                  <w:shd w:val="clear" w:color="auto" w:fill="auto"/>
                  <w:vAlign w:val="center"/>
                </w:tcPr>
                <w:p>
                  <w:pPr>
                    <w:snapToGrid w:val="0"/>
                    <w:jc w:val="center"/>
                    <w:rPr>
                      <w:color w:val="000000"/>
                      <w:sz w:val="21"/>
                      <w:szCs w:val="21"/>
                    </w:rPr>
                  </w:pPr>
                  <w:r>
                    <w:rPr>
                      <w:color w:val="000000"/>
                      <w:sz w:val="21"/>
                      <w:szCs w:val="21"/>
                    </w:rPr>
                    <w:t>m</w:t>
                  </w:r>
                </w:p>
              </w:tc>
              <w:tc>
                <w:tcPr>
                  <w:tcW w:w="851" w:type="dxa"/>
                  <w:tcBorders>
                    <w:top w:val="single" w:color="auto" w:sz="4" w:space="0"/>
                  </w:tcBorders>
                  <w:shd w:val="clear" w:color="auto" w:fill="auto"/>
                  <w:vAlign w:val="center"/>
                </w:tcPr>
                <w:p>
                  <w:pPr>
                    <w:snapToGrid w:val="0"/>
                    <w:jc w:val="center"/>
                    <w:rPr>
                      <w:color w:val="000000"/>
                      <w:sz w:val="21"/>
                      <w:szCs w:val="21"/>
                    </w:rPr>
                  </w:pPr>
                  <w:r>
                    <w:rPr>
                      <w:color w:val="000000"/>
                      <w:sz w:val="21"/>
                      <w:szCs w:val="21"/>
                    </w:rPr>
                    <w:t>mm</w:t>
                  </w:r>
                </w:p>
              </w:tc>
              <w:tc>
                <w:tcPr>
                  <w:tcW w:w="1275" w:type="dxa"/>
                  <w:tcBorders>
                    <w:top w:val="single" w:color="auto" w:sz="4" w:space="0"/>
                    <w:bottom w:val="single" w:color="auto" w:sz="4" w:space="0"/>
                  </w:tcBorders>
                  <w:shd w:val="clear" w:color="auto" w:fill="auto"/>
                  <w:vAlign w:val="center"/>
                </w:tcPr>
                <w:p>
                  <w:pPr>
                    <w:snapToGrid w:val="0"/>
                    <w:jc w:val="center"/>
                    <w:rPr>
                      <w:color w:val="000000"/>
                      <w:sz w:val="21"/>
                      <w:szCs w:val="21"/>
                    </w:rPr>
                  </w:pPr>
                  <w:r>
                    <w:rPr>
                      <w:color w:val="000000"/>
                      <w:sz w:val="21"/>
                      <w:szCs w:val="21"/>
                    </w:rPr>
                    <w:t>/</w:t>
                  </w:r>
                </w:p>
              </w:tc>
              <w:tc>
                <w:tcPr>
                  <w:tcW w:w="1418" w:type="dxa"/>
                  <w:tcBorders>
                    <w:top w:val="single" w:color="auto" w:sz="4" w:space="0"/>
                    <w:bottom w:val="single" w:color="auto" w:sz="4" w:space="0"/>
                  </w:tcBorders>
                  <w:shd w:val="clear" w:color="auto" w:fill="auto"/>
                  <w:vAlign w:val="center"/>
                </w:tcPr>
                <w:p>
                  <w:pPr>
                    <w:snapToGrid w:val="0"/>
                    <w:jc w:val="center"/>
                    <w:rPr>
                      <w:color w:val="000000"/>
                      <w:sz w:val="21"/>
                      <w:szCs w:val="21"/>
                    </w:rPr>
                  </w:pPr>
                  <w:r>
                    <w:rPr>
                      <w:color w:val="000000"/>
                      <w:sz w:val="21"/>
                      <w:szCs w:val="21"/>
                    </w:rPr>
                    <w:t>µSv/h</w:t>
                  </w:r>
                </w:p>
              </w:tc>
              <w:tc>
                <w:tcPr>
                  <w:tcW w:w="1357" w:type="dxa"/>
                  <w:tcBorders>
                    <w:top w:val="single" w:color="auto" w:sz="4" w:space="0"/>
                    <w:bottom w:val="single" w:color="auto" w:sz="4" w:space="0"/>
                    <w:right w:val="nil"/>
                  </w:tcBorders>
                  <w:shd w:val="clear" w:color="auto" w:fill="auto"/>
                  <w:vAlign w:val="center"/>
                </w:tcPr>
                <w:p>
                  <w:pPr>
                    <w:snapToGrid w:val="0"/>
                    <w:jc w:val="center"/>
                    <w:rPr>
                      <w:color w:val="000000"/>
                      <w:sz w:val="21"/>
                      <w:szCs w:val="21"/>
                    </w:rPr>
                  </w:pPr>
                  <w:r>
                    <w:rPr>
                      <w:color w:val="000000"/>
                      <w:sz w:val="21"/>
                      <w:szCs w:val="21"/>
                    </w:rPr>
                    <w:t>µSv/h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A</w:t>
                  </w:r>
                </w:p>
              </w:tc>
              <w:tc>
                <w:tcPr>
                  <w:tcW w:w="25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医护出入防护门外表面30cm处</w:t>
                  </w:r>
                </w:p>
              </w:tc>
              <w:tc>
                <w:tcPr>
                  <w:tcW w:w="709"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.54</w:t>
                  </w:r>
                </w:p>
              </w:tc>
              <w:tc>
                <w:tcPr>
                  <w:tcW w:w="8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7.97E-05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2.04E+00</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6.53E-02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B</w:t>
                  </w:r>
                </w:p>
              </w:tc>
              <w:tc>
                <w:tcPr>
                  <w:tcW w:w="255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介入手术室北墙外表面30cm处（操作间）</w:t>
                  </w:r>
                </w:p>
              </w:tc>
              <w:tc>
                <w:tcPr>
                  <w:tcW w:w="709" w:type="dxa"/>
                  <w:shd w:val="clear" w:color="auto" w:fill="auto"/>
                  <w:vAlign w:val="center"/>
                </w:tcPr>
                <w:p>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3.42</w:t>
                  </w:r>
                </w:p>
              </w:tc>
              <w:tc>
                <w:tcPr>
                  <w:tcW w:w="85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.2</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5.82E-07</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B0F0"/>
                      <w:sz w:val="21"/>
                      <w:szCs w:val="21"/>
                    </w:rPr>
                  </w:pPr>
                  <w:r>
                    <w:rPr>
                      <w:sz w:val="21"/>
                      <w:szCs w:val="21"/>
                    </w:rPr>
                    <w:t>2.63E-02</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B0F0"/>
                      <w:sz w:val="21"/>
                      <w:szCs w:val="21"/>
                    </w:rPr>
                  </w:pPr>
                  <w:r>
                    <w:rPr>
                      <w:sz w:val="21"/>
                      <w:szCs w:val="21"/>
                    </w:rPr>
                    <w:t>8.40E-04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w:t>
                  </w:r>
                </w:p>
              </w:tc>
              <w:tc>
                <w:tcPr>
                  <w:tcW w:w="25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操作间观察窗外表面30cm处</w:t>
                  </w:r>
                </w:p>
              </w:tc>
              <w:tc>
                <w:tcPr>
                  <w:tcW w:w="709"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.02</w:t>
                  </w:r>
                </w:p>
              </w:tc>
              <w:tc>
                <w:tcPr>
                  <w:tcW w:w="8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7.97E-05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4.58E+00</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1.47E-01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w:t>
                  </w:r>
                </w:p>
              </w:tc>
              <w:tc>
                <w:tcPr>
                  <w:tcW w:w="25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介入手术室北墙外表面30cm处（C</w:t>
                  </w:r>
                  <w:r>
                    <w:rPr>
                      <w:color w:val="000000" w:themeColor="text1"/>
                      <w:sz w:val="21"/>
                      <w:szCs w:val="21"/>
                      <w14:textFill>
                        <w14:solidFill>
                          <w14:schemeClr w14:val="tx1"/>
                        </w14:solidFill>
                      </w14:textFill>
                    </w:rPr>
                    <w:t>T</w:t>
                  </w:r>
                  <w:r>
                    <w:rPr>
                      <w:rFonts w:hint="eastAsia"/>
                      <w:color w:val="000000" w:themeColor="text1"/>
                      <w:sz w:val="21"/>
                      <w:szCs w:val="21"/>
                      <w14:textFill>
                        <w14:solidFill>
                          <w14:schemeClr w14:val="tx1"/>
                        </w14:solidFill>
                      </w14:textFill>
                    </w:rPr>
                    <w:t>机房）</w:t>
                  </w:r>
                </w:p>
              </w:tc>
              <w:tc>
                <w:tcPr>
                  <w:tcW w:w="709"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.53</w:t>
                  </w:r>
                </w:p>
              </w:tc>
              <w:tc>
                <w:tcPr>
                  <w:tcW w:w="8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.2</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5.82E-07</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2.46E-02</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7.89E-04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E</w:t>
                  </w:r>
                </w:p>
              </w:tc>
              <w:tc>
                <w:tcPr>
                  <w:tcW w:w="25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应急通道门外表面30cm处（走廊）</w:t>
                  </w:r>
                </w:p>
              </w:tc>
              <w:tc>
                <w:tcPr>
                  <w:tcW w:w="709"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.37</w:t>
                  </w:r>
                </w:p>
              </w:tc>
              <w:tc>
                <w:tcPr>
                  <w:tcW w:w="8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7.97E-05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2.20E+00</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7.05E-02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F</w:t>
                  </w:r>
                </w:p>
              </w:tc>
              <w:tc>
                <w:tcPr>
                  <w:tcW w:w="255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介入手术室东墙外表面30cm处（设备间）</w:t>
                  </w:r>
                </w:p>
              </w:tc>
              <w:tc>
                <w:tcPr>
                  <w:tcW w:w="709"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.24</w:t>
                  </w:r>
                </w:p>
              </w:tc>
              <w:tc>
                <w:tcPr>
                  <w:tcW w:w="85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.2</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5.82E-07</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1.71E-02</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5.47E-04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w:t>
                  </w:r>
                </w:p>
              </w:tc>
              <w:tc>
                <w:tcPr>
                  <w:tcW w:w="2551" w:type="dxa"/>
                  <w:tcBorders>
                    <w:bottom w:val="single" w:color="auto" w:sz="4" w:space="0"/>
                  </w:tcBorders>
                  <w:shd w:val="clear" w:color="auto" w:fill="auto"/>
                  <w:vAlign w:val="center"/>
                </w:tcPr>
                <w:p>
                  <w:pPr>
                    <w:snapToGrid w:val="0"/>
                    <w:spacing w:line="26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介入手术室南墙外表面30cm处（走廊）</w:t>
                  </w:r>
                </w:p>
              </w:tc>
              <w:tc>
                <w:tcPr>
                  <w:tcW w:w="709"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.26</w:t>
                  </w:r>
                </w:p>
              </w:tc>
              <w:tc>
                <w:tcPr>
                  <w:tcW w:w="8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.3</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4.31E-06</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2.14E-01</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6.85E-03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w:t>
                  </w:r>
                </w:p>
              </w:tc>
              <w:tc>
                <w:tcPr>
                  <w:tcW w:w="2551" w:type="dxa"/>
                  <w:shd w:val="clear" w:color="auto" w:fill="auto"/>
                  <w:vAlign w:val="center"/>
                </w:tcPr>
                <w:p>
                  <w:pPr>
                    <w:snapToGrid w:val="0"/>
                    <w:spacing w:line="26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污物出入防护门外表面30cm处（污物间）</w:t>
                  </w:r>
                </w:p>
              </w:tc>
              <w:tc>
                <w:tcPr>
                  <w:tcW w:w="709"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.41</w:t>
                  </w:r>
                </w:p>
              </w:tc>
              <w:tc>
                <w:tcPr>
                  <w:tcW w:w="85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7.97E-05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2.16E+00</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6.92E-02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shd w:val="clear" w:color="auto" w:fill="auto"/>
                  <w:vAlign w:val="center"/>
                </w:tcPr>
                <w:p>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I</w:t>
                  </w:r>
                </w:p>
              </w:tc>
              <w:tc>
                <w:tcPr>
                  <w:tcW w:w="2551" w:type="dxa"/>
                  <w:shd w:val="clear" w:color="auto" w:fill="auto"/>
                  <w:vAlign w:val="center"/>
                </w:tcPr>
                <w:p>
                  <w:pPr>
                    <w:snapToGrid w:val="0"/>
                    <w:spacing w:line="26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介入手术室西墙外表面30cm处（缓冲间）</w:t>
                  </w:r>
                </w:p>
              </w:tc>
              <w:tc>
                <w:tcPr>
                  <w:tcW w:w="709"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.07</w:t>
                  </w:r>
                </w:p>
              </w:tc>
              <w:tc>
                <w:tcPr>
                  <w:tcW w:w="85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.9</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1.13E-06</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3.61E-02</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1.16E-03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shd w:val="clear" w:color="auto" w:fill="auto"/>
                  <w:vAlign w:val="center"/>
                </w:tcPr>
                <w:p>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w:t>
                  </w:r>
                </w:p>
              </w:tc>
              <w:tc>
                <w:tcPr>
                  <w:tcW w:w="255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患者出入防护门外表面30cm处（缓冲间）</w:t>
                  </w:r>
                </w:p>
              </w:tc>
              <w:tc>
                <w:tcPr>
                  <w:tcW w:w="709"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.46</w:t>
                  </w:r>
                </w:p>
              </w:tc>
              <w:tc>
                <w:tcPr>
                  <w:tcW w:w="85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7.97E-05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2.11E+00</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6.77E-02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tcBorders>
                    <w:bottom w:val="single" w:color="auto" w:sz="12" w:space="0"/>
                  </w:tcBorders>
                  <w:shd w:val="clear" w:color="auto" w:fill="auto"/>
                  <w:vAlign w:val="center"/>
                </w:tcPr>
                <w:p>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K</w:t>
                  </w:r>
                </w:p>
              </w:tc>
              <w:tc>
                <w:tcPr>
                  <w:tcW w:w="2551" w:type="dxa"/>
                  <w:tcBorders>
                    <w:bottom w:val="single" w:color="auto" w:sz="12"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介入手术室顶棚地面1m高度处（医生办公室）</w:t>
                  </w:r>
                </w:p>
              </w:tc>
              <w:tc>
                <w:tcPr>
                  <w:tcW w:w="709" w:type="dxa"/>
                  <w:tcBorders>
                    <w:bottom w:val="single" w:color="auto" w:sz="12"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.62</w:t>
                  </w:r>
                </w:p>
              </w:tc>
              <w:tc>
                <w:tcPr>
                  <w:tcW w:w="851" w:type="dxa"/>
                  <w:tcBorders>
                    <w:bottom w:val="single" w:color="auto" w:sz="12"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.4</w:t>
                  </w:r>
                </w:p>
              </w:tc>
              <w:tc>
                <w:tcPr>
                  <w:tcW w:w="1275" w:type="dxa"/>
                  <w:tcBorders>
                    <w:top w:val="single" w:color="auto" w:sz="4" w:space="0"/>
                    <w:left w:val="nil"/>
                    <w:bottom w:val="single" w:color="auto" w:sz="12"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3.23E-05</w:t>
                  </w:r>
                </w:p>
              </w:tc>
              <w:tc>
                <w:tcPr>
                  <w:tcW w:w="1418" w:type="dxa"/>
                  <w:tcBorders>
                    <w:top w:val="single" w:color="auto" w:sz="4" w:space="0"/>
                    <w:left w:val="single" w:color="auto" w:sz="4" w:space="0"/>
                    <w:bottom w:val="single" w:color="auto" w:sz="12" w:space="0"/>
                    <w:right w:val="single" w:color="auto" w:sz="4" w:space="0"/>
                  </w:tcBorders>
                  <w:shd w:val="clear" w:color="auto" w:fill="auto"/>
                  <w:vAlign w:val="center"/>
                </w:tcPr>
                <w:p>
                  <w:pPr>
                    <w:snapToGrid w:val="0"/>
                    <w:jc w:val="center"/>
                    <w:rPr>
                      <w:color w:val="00B0F0"/>
                      <w:sz w:val="21"/>
                      <w:szCs w:val="21"/>
                    </w:rPr>
                  </w:pPr>
                  <w:r>
                    <w:rPr>
                      <w:sz w:val="21"/>
                      <w:szCs w:val="21"/>
                    </w:rPr>
                    <w:t>1.30E+00</w:t>
                  </w:r>
                </w:p>
              </w:tc>
              <w:tc>
                <w:tcPr>
                  <w:tcW w:w="1357" w:type="dxa"/>
                  <w:tcBorders>
                    <w:top w:val="single" w:color="auto" w:sz="4" w:space="0"/>
                    <w:left w:val="single" w:color="auto" w:sz="4" w:space="0"/>
                    <w:bottom w:val="single" w:color="auto" w:sz="12" w:space="0"/>
                    <w:right w:val="nil"/>
                  </w:tcBorders>
                  <w:shd w:val="clear" w:color="auto" w:fill="auto"/>
                  <w:vAlign w:val="center"/>
                </w:tcPr>
                <w:p>
                  <w:pPr>
                    <w:snapToGrid w:val="0"/>
                    <w:jc w:val="center"/>
                    <w:rPr>
                      <w:color w:val="00B0F0"/>
                      <w:sz w:val="21"/>
                      <w:szCs w:val="21"/>
                    </w:rPr>
                  </w:pPr>
                  <w:r>
                    <w:rPr>
                      <w:sz w:val="21"/>
                      <w:szCs w:val="21"/>
                    </w:rPr>
                    <w:t>4.16E-02</w:t>
                  </w:r>
                </w:p>
              </w:tc>
            </w:tr>
          </w:tbl>
          <w:p>
            <w:pPr>
              <w:spacing w:before="120"/>
              <w:ind w:firstLine="480" w:firstLineChars="200"/>
              <w:rPr>
                <w:color w:val="000000"/>
              </w:rPr>
            </w:pPr>
            <w:r>
              <w:rPr>
                <w:rFonts w:hint="eastAsia" w:ascii="宋体" w:hAnsi="宋体"/>
                <w:color w:val="000000"/>
              </w:rPr>
              <w:t>②</w:t>
            </w:r>
            <w:r>
              <w:rPr>
                <w:color w:val="000000"/>
              </w:rPr>
              <w:t>散射</w:t>
            </w:r>
            <w:r>
              <w:rPr>
                <w:rFonts w:hint="eastAsia"/>
                <w:color w:val="000000"/>
              </w:rPr>
              <w:t>射</w:t>
            </w:r>
            <w:r>
              <w:rPr>
                <w:color w:val="000000"/>
              </w:rPr>
              <w:t>线</w:t>
            </w:r>
          </w:p>
          <w:p>
            <w:pPr>
              <w:spacing w:line="360" w:lineRule="auto"/>
              <w:ind w:firstLine="420" w:firstLineChars="200"/>
              <w:rPr>
                <w:bCs/>
                <w:color w:val="000000"/>
              </w:rPr>
            </w:pPr>
            <w:r>
              <w:rPr>
                <w:sz w:val="21"/>
              </w:rPr>
              <w:t xml:space="preserve"> </w:t>
            </w:r>
            <w:r>
              <w:rPr>
                <w:bCs/>
                <w:color w:val="000000"/>
              </w:rPr>
              <w:t>本项目DSA手术室</w:t>
            </w:r>
            <w:r>
              <w:rPr>
                <w:rFonts w:hint="eastAsia"/>
                <w:bCs/>
                <w:color w:val="000000"/>
              </w:rPr>
              <w:t>各屏蔽体体外</w:t>
            </w:r>
            <w:r>
              <w:rPr>
                <w:bCs/>
                <w:color w:val="000000"/>
              </w:rPr>
              <w:t>各关注点散射辐射剂量率估算结果见表11-3。</w:t>
            </w:r>
          </w:p>
          <w:p>
            <w:pPr>
              <w:spacing w:line="360" w:lineRule="auto"/>
              <w:rPr>
                <w:rFonts w:ascii="宋体" w:hAnsi="宋体"/>
                <w:b/>
                <w:bCs/>
                <w:color w:val="000000"/>
                <w:kern w:val="0"/>
                <w:sz w:val="21"/>
                <w:szCs w:val="21"/>
              </w:rPr>
            </w:pPr>
          </w:p>
          <w:p>
            <w:pPr>
              <w:spacing w:line="360" w:lineRule="auto"/>
              <w:jc w:val="center"/>
              <w:rPr>
                <w:rFonts w:ascii="宋体" w:hAnsi="宋体"/>
                <w:b/>
                <w:bCs/>
                <w:color w:val="000000"/>
                <w:kern w:val="0"/>
                <w:sz w:val="21"/>
                <w:szCs w:val="21"/>
              </w:rPr>
            </w:pPr>
            <w:r>
              <w:rPr>
                <w:rFonts w:ascii="宋体" w:hAnsi="宋体"/>
                <w:b/>
                <w:bCs/>
                <w:color w:val="000000"/>
                <w:kern w:val="0"/>
                <w:sz w:val="21"/>
                <w:szCs w:val="21"/>
              </w:rPr>
              <w:t>表</w:t>
            </w:r>
            <w:r>
              <w:rPr>
                <w:b/>
                <w:bCs/>
                <w:color w:val="000000"/>
                <w:kern w:val="0"/>
                <w:sz w:val="21"/>
                <w:szCs w:val="21"/>
              </w:rPr>
              <w:t>11-3  DSA</w:t>
            </w:r>
            <w:r>
              <w:rPr>
                <w:rFonts w:ascii="宋体" w:hAnsi="宋体"/>
                <w:b/>
                <w:bCs/>
                <w:color w:val="000000"/>
                <w:kern w:val="0"/>
                <w:sz w:val="21"/>
                <w:szCs w:val="21"/>
              </w:rPr>
              <w:t>手术室外各关注点</w:t>
            </w:r>
            <w:r>
              <w:rPr>
                <w:rFonts w:hint="eastAsia" w:ascii="宋体" w:hAnsi="宋体"/>
                <w:b/>
                <w:bCs/>
                <w:color w:val="000000"/>
                <w:kern w:val="0"/>
                <w:sz w:val="21"/>
                <w:szCs w:val="21"/>
              </w:rPr>
              <w:t>散射</w:t>
            </w:r>
            <w:r>
              <w:rPr>
                <w:rFonts w:ascii="宋体" w:hAnsi="宋体"/>
                <w:b/>
                <w:bCs/>
                <w:color w:val="000000"/>
                <w:kern w:val="0"/>
                <w:sz w:val="21"/>
                <w:szCs w:val="21"/>
              </w:rPr>
              <w:t>辐射剂量率估算结果</w:t>
            </w:r>
          </w:p>
          <w:tbl>
            <w:tblPr>
              <w:tblStyle w:val="16"/>
              <w:tblW w:w="860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2551"/>
              <w:gridCol w:w="709"/>
              <w:gridCol w:w="851"/>
              <w:gridCol w:w="1275"/>
              <w:gridCol w:w="1418"/>
              <w:gridCol w:w="13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92" w:type="dxa"/>
                  <w:gridSpan w:val="2"/>
                  <w:tcBorders>
                    <w:top w:val="single" w:color="auto" w:sz="12" w:space="0"/>
                    <w:bottom w:val="single" w:color="auto" w:sz="12" w:space="0"/>
                  </w:tcBorders>
                  <w:shd w:val="clear" w:color="auto" w:fill="auto"/>
                  <w:vAlign w:val="center"/>
                </w:tcPr>
                <w:p>
                  <w:pPr>
                    <w:snapToGrid w:val="0"/>
                    <w:jc w:val="center"/>
                    <w:rPr>
                      <w:color w:val="000000"/>
                      <w:sz w:val="21"/>
                      <w:szCs w:val="21"/>
                    </w:rPr>
                  </w:pPr>
                  <w:r>
                    <w:rPr>
                      <w:color w:val="000000"/>
                      <w:sz w:val="21"/>
                      <w:szCs w:val="21"/>
                    </w:rPr>
                    <w:t>关注点位置描述</w:t>
                  </w:r>
                </w:p>
              </w:tc>
              <w:tc>
                <w:tcPr>
                  <w:tcW w:w="709" w:type="dxa"/>
                  <w:tcBorders>
                    <w:top w:val="single" w:color="auto" w:sz="12" w:space="0"/>
                    <w:bottom w:val="single" w:color="auto" w:sz="12" w:space="0"/>
                  </w:tcBorders>
                  <w:shd w:val="clear" w:color="auto" w:fill="auto"/>
                  <w:vAlign w:val="center"/>
                </w:tcPr>
                <w:p>
                  <w:pPr>
                    <w:snapToGrid w:val="0"/>
                    <w:jc w:val="center"/>
                    <w:rPr>
                      <w:color w:val="000000"/>
                      <w:sz w:val="21"/>
                      <w:szCs w:val="21"/>
                    </w:rPr>
                  </w:pPr>
                  <w:r>
                    <w:rPr>
                      <w:color w:val="000000"/>
                      <w:sz w:val="21"/>
                      <w:szCs w:val="21"/>
                    </w:rPr>
                    <w:t>距离R</w:t>
                  </w:r>
                </w:p>
              </w:tc>
              <w:tc>
                <w:tcPr>
                  <w:tcW w:w="851" w:type="dxa"/>
                  <w:tcBorders>
                    <w:top w:val="single" w:color="auto" w:sz="12" w:space="0"/>
                    <w:bottom w:val="single" w:color="auto" w:sz="12" w:space="0"/>
                  </w:tcBorders>
                  <w:shd w:val="clear" w:color="auto" w:fill="auto"/>
                  <w:vAlign w:val="center"/>
                </w:tcPr>
                <w:p>
                  <w:pPr>
                    <w:snapToGrid w:val="0"/>
                    <w:jc w:val="center"/>
                    <w:rPr>
                      <w:color w:val="000000"/>
                      <w:sz w:val="21"/>
                      <w:szCs w:val="21"/>
                    </w:rPr>
                  </w:pPr>
                  <w:r>
                    <w:rPr>
                      <w:color w:val="000000"/>
                      <w:sz w:val="21"/>
                      <w:szCs w:val="21"/>
                    </w:rPr>
                    <w:t>铅当量X</w:t>
                  </w:r>
                </w:p>
              </w:tc>
              <w:tc>
                <w:tcPr>
                  <w:tcW w:w="1275" w:type="dxa"/>
                  <w:tcBorders>
                    <w:top w:val="single" w:color="auto" w:sz="12" w:space="0"/>
                    <w:bottom w:val="single" w:color="auto" w:sz="12" w:space="0"/>
                  </w:tcBorders>
                  <w:shd w:val="clear" w:color="auto" w:fill="auto"/>
                  <w:vAlign w:val="center"/>
                </w:tcPr>
                <w:p>
                  <w:pPr>
                    <w:snapToGrid w:val="0"/>
                    <w:jc w:val="center"/>
                    <w:rPr>
                      <w:color w:val="000000"/>
                      <w:sz w:val="21"/>
                      <w:szCs w:val="21"/>
                    </w:rPr>
                  </w:pPr>
                  <w:r>
                    <w:rPr>
                      <w:color w:val="000000"/>
                      <w:sz w:val="21"/>
                      <w:szCs w:val="21"/>
                    </w:rPr>
                    <w:t>透射因子B</w:t>
                  </w:r>
                </w:p>
              </w:tc>
              <w:tc>
                <w:tcPr>
                  <w:tcW w:w="1418" w:type="dxa"/>
                  <w:tcBorders>
                    <w:top w:val="single" w:color="auto" w:sz="12" w:space="0"/>
                    <w:bottom w:val="single" w:color="auto" w:sz="12" w:space="0"/>
                  </w:tcBorders>
                  <w:shd w:val="clear" w:color="auto" w:fill="auto"/>
                  <w:vAlign w:val="center"/>
                </w:tcPr>
                <w:p>
                  <w:pPr>
                    <w:snapToGrid w:val="0"/>
                    <w:jc w:val="center"/>
                    <w:rPr>
                      <w:color w:val="000000"/>
                      <w:sz w:val="21"/>
                      <w:szCs w:val="21"/>
                    </w:rPr>
                  </w:pPr>
                  <w:r>
                    <w:rPr>
                      <w:color w:val="000000"/>
                      <w:sz w:val="21"/>
                      <w:szCs w:val="21"/>
                    </w:rPr>
                    <w:t>采集状态</w:t>
                  </w:r>
                </w:p>
                <w:p>
                  <w:pPr>
                    <w:snapToGrid w:val="0"/>
                    <w:jc w:val="center"/>
                    <w:rPr>
                      <w:color w:val="000000"/>
                      <w:sz w:val="21"/>
                      <w:szCs w:val="21"/>
                    </w:rPr>
                  </w:pPr>
                  <w:r>
                    <w:rPr>
                      <w:color w:val="000000"/>
                      <w:sz w:val="21"/>
                      <w:szCs w:val="21"/>
                    </w:rPr>
                    <w:t>剂量率</w:t>
                  </w:r>
                </w:p>
              </w:tc>
              <w:tc>
                <w:tcPr>
                  <w:tcW w:w="1357" w:type="dxa"/>
                  <w:tcBorders>
                    <w:top w:val="single" w:color="auto" w:sz="12" w:space="0"/>
                    <w:bottom w:val="single" w:color="auto" w:sz="12" w:space="0"/>
                    <w:right w:val="nil"/>
                  </w:tcBorders>
                  <w:shd w:val="clear" w:color="auto" w:fill="auto"/>
                  <w:vAlign w:val="center"/>
                </w:tcPr>
                <w:p>
                  <w:pPr>
                    <w:snapToGrid w:val="0"/>
                    <w:jc w:val="center"/>
                    <w:rPr>
                      <w:color w:val="000000"/>
                      <w:sz w:val="21"/>
                      <w:szCs w:val="21"/>
                    </w:rPr>
                  </w:pPr>
                  <w:r>
                    <w:rPr>
                      <w:color w:val="000000"/>
                      <w:sz w:val="21"/>
                      <w:szCs w:val="21"/>
                    </w:rPr>
                    <w:t>透视状态</w:t>
                  </w:r>
                </w:p>
                <w:p>
                  <w:pPr>
                    <w:snapToGrid w:val="0"/>
                    <w:jc w:val="center"/>
                    <w:rPr>
                      <w:color w:val="000000"/>
                      <w:sz w:val="21"/>
                      <w:szCs w:val="21"/>
                    </w:rPr>
                  </w:pPr>
                  <w:r>
                    <w:rPr>
                      <w:color w:val="000000"/>
                      <w:sz w:val="21"/>
                      <w:szCs w:val="21"/>
                    </w:rPr>
                    <w:t>剂量率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992" w:type="dxa"/>
                  <w:gridSpan w:val="2"/>
                  <w:tcBorders>
                    <w:top w:val="single" w:color="auto" w:sz="4" w:space="0"/>
                  </w:tcBorders>
                  <w:shd w:val="clear" w:color="auto" w:fill="auto"/>
                  <w:vAlign w:val="center"/>
                </w:tcPr>
                <w:p>
                  <w:pPr>
                    <w:snapToGrid w:val="0"/>
                    <w:jc w:val="center"/>
                    <w:rPr>
                      <w:color w:val="000000"/>
                      <w:sz w:val="21"/>
                      <w:szCs w:val="21"/>
                    </w:rPr>
                  </w:pPr>
                  <w:r>
                    <w:rPr>
                      <w:rFonts w:hint="eastAsia"/>
                      <w:color w:val="000000"/>
                      <w:sz w:val="21"/>
                      <w:szCs w:val="21"/>
                    </w:rPr>
                    <w:t>单位</w:t>
                  </w:r>
                </w:p>
              </w:tc>
              <w:tc>
                <w:tcPr>
                  <w:tcW w:w="709" w:type="dxa"/>
                  <w:tcBorders>
                    <w:top w:val="single" w:color="auto" w:sz="4" w:space="0"/>
                  </w:tcBorders>
                  <w:shd w:val="clear" w:color="auto" w:fill="auto"/>
                  <w:vAlign w:val="center"/>
                </w:tcPr>
                <w:p>
                  <w:pPr>
                    <w:snapToGrid w:val="0"/>
                    <w:jc w:val="center"/>
                    <w:rPr>
                      <w:color w:val="000000"/>
                      <w:sz w:val="21"/>
                      <w:szCs w:val="21"/>
                    </w:rPr>
                  </w:pPr>
                  <w:r>
                    <w:rPr>
                      <w:color w:val="000000"/>
                      <w:sz w:val="21"/>
                      <w:szCs w:val="21"/>
                    </w:rPr>
                    <w:t>m</w:t>
                  </w:r>
                </w:p>
              </w:tc>
              <w:tc>
                <w:tcPr>
                  <w:tcW w:w="851" w:type="dxa"/>
                  <w:tcBorders>
                    <w:top w:val="single" w:color="auto" w:sz="4" w:space="0"/>
                  </w:tcBorders>
                  <w:shd w:val="clear" w:color="auto" w:fill="auto"/>
                  <w:vAlign w:val="center"/>
                </w:tcPr>
                <w:p>
                  <w:pPr>
                    <w:snapToGrid w:val="0"/>
                    <w:jc w:val="center"/>
                    <w:rPr>
                      <w:color w:val="000000"/>
                      <w:sz w:val="21"/>
                      <w:szCs w:val="21"/>
                    </w:rPr>
                  </w:pPr>
                  <w:r>
                    <w:rPr>
                      <w:color w:val="000000"/>
                      <w:sz w:val="21"/>
                      <w:szCs w:val="21"/>
                    </w:rPr>
                    <w:t>mm</w:t>
                  </w:r>
                </w:p>
              </w:tc>
              <w:tc>
                <w:tcPr>
                  <w:tcW w:w="1275" w:type="dxa"/>
                  <w:tcBorders>
                    <w:top w:val="single" w:color="auto" w:sz="4" w:space="0"/>
                    <w:bottom w:val="single" w:color="auto" w:sz="4" w:space="0"/>
                  </w:tcBorders>
                  <w:shd w:val="clear" w:color="auto" w:fill="auto"/>
                  <w:vAlign w:val="center"/>
                </w:tcPr>
                <w:p>
                  <w:pPr>
                    <w:snapToGrid w:val="0"/>
                    <w:jc w:val="center"/>
                    <w:rPr>
                      <w:color w:val="000000"/>
                      <w:sz w:val="21"/>
                      <w:szCs w:val="21"/>
                    </w:rPr>
                  </w:pPr>
                  <w:r>
                    <w:rPr>
                      <w:color w:val="000000"/>
                      <w:sz w:val="21"/>
                      <w:szCs w:val="21"/>
                    </w:rPr>
                    <w:t>/</w:t>
                  </w:r>
                </w:p>
              </w:tc>
              <w:tc>
                <w:tcPr>
                  <w:tcW w:w="1418" w:type="dxa"/>
                  <w:tcBorders>
                    <w:top w:val="single" w:color="auto" w:sz="4" w:space="0"/>
                    <w:bottom w:val="single" w:color="auto" w:sz="4" w:space="0"/>
                  </w:tcBorders>
                  <w:shd w:val="clear" w:color="auto" w:fill="auto"/>
                  <w:vAlign w:val="center"/>
                </w:tcPr>
                <w:p>
                  <w:pPr>
                    <w:snapToGrid w:val="0"/>
                    <w:jc w:val="center"/>
                    <w:rPr>
                      <w:color w:val="000000"/>
                      <w:sz w:val="21"/>
                      <w:szCs w:val="21"/>
                    </w:rPr>
                  </w:pPr>
                  <w:r>
                    <w:rPr>
                      <w:color w:val="000000"/>
                      <w:sz w:val="21"/>
                      <w:szCs w:val="21"/>
                    </w:rPr>
                    <w:t>µSv/h</w:t>
                  </w:r>
                </w:p>
              </w:tc>
              <w:tc>
                <w:tcPr>
                  <w:tcW w:w="1357" w:type="dxa"/>
                  <w:tcBorders>
                    <w:top w:val="single" w:color="auto" w:sz="4" w:space="0"/>
                    <w:bottom w:val="single" w:color="auto" w:sz="4" w:space="0"/>
                    <w:right w:val="nil"/>
                  </w:tcBorders>
                  <w:shd w:val="clear" w:color="auto" w:fill="auto"/>
                  <w:vAlign w:val="center"/>
                </w:tcPr>
                <w:p>
                  <w:pPr>
                    <w:snapToGrid w:val="0"/>
                    <w:jc w:val="center"/>
                    <w:rPr>
                      <w:color w:val="000000"/>
                      <w:sz w:val="21"/>
                      <w:szCs w:val="21"/>
                    </w:rPr>
                  </w:pPr>
                  <w:r>
                    <w:rPr>
                      <w:color w:val="000000"/>
                      <w:sz w:val="21"/>
                      <w:szCs w:val="21"/>
                    </w:rPr>
                    <w:t>µSv/h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A</w:t>
                  </w:r>
                </w:p>
              </w:tc>
              <w:tc>
                <w:tcPr>
                  <w:tcW w:w="25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医护出入防护门外表面30cm处</w:t>
                  </w:r>
                </w:p>
              </w:tc>
              <w:tc>
                <w:tcPr>
                  <w:tcW w:w="709"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.54</w:t>
                  </w:r>
                </w:p>
              </w:tc>
              <w:tc>
                <w:tcPr>
                  <w:tcW w:w="8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7.97E-05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1.22E+01</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3.92E-01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B</w:t>
                  </w:r>
                </w:p>
              </w:tc>
              <w:tc>
                <w:tcPr>
                  <w:tcW w:w="255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介入手术室北墙外表面30cm处（操作间）</w:t>
                  </w:r>
                </w:p>
              </w:tc>
              <w:tc>
                <w:tcPr>
                  <w:tcW w:w="709" w:type="dxa"/>
                  <w:shd w:val="clear" w:color="auto" w:fill="auto"/>
                  <w:vAlign w:val="center"/>
                </w:tcPr>
                <w:p>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3.42</w:t>
                  </w:r>
                </w:p>
              </w:tc>
              <w:tc>
                <w:tcPr>
                  <w:tcW w:w="85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.2</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5.82E-07</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B0F0"/>
                      <w:sz w:val="21"/>
                      <w:szCs w:val="21"/>
                    </w:rPr>
                  </w:pPr>
                  <w:r>
                    <w:rPr>
                      <w:sz w:val="21"/>
                      <w:szCs w:val="21"/>
                    </w:rPr>
                    <w:t>1.58E-01</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B0F0"/>
                      <w:sz w:val="21"/>
                      <w:szCs w:val="21"/>
                    </w:rPr>
                  </w:pPr>
                  <w:r>
                    <w:rPr>
                      <w:sz w:val="21"/>
                      <w:szCs w:val="21"/>
                    </w:rPr>
                    <w:t>5.04E-03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w:t>
                  </w:r>
                </w:p>
              </w:tc>
              <w:tc>
                <w:tcPr>
                  <w:tcW w:w="25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操作间观察窗外表面30cm处</w:t>
                  </w:r>
                </w:p>
              </w:tc>
              <w:tc>
                <w:tcPr>
                  <w:tcW w:w="709"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.02</w:t>
                  </w:r>
                </w:p>
              </w:tc>
              <w:tc>
                <w:tcPr>
                  <w:tcW w:w="8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7.97E-05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2.75E+01</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8.80E-01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w:t>
                  </w:r>
                </w:p>
              </w:tc>
              <w:tc>
                <w:tcPr>
                  <w:tcW w:w="25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介入手术室北墙外表面30cm处（C</w:t>
                  </w:r>
                  <w:r>
                    <w:rPr>
                      <w:color w:val="000000" w:themeColor="text1"/>
                      <w:sz w:val="21"/>
                      <w:szCs w:val="21"/>
                      <w14:textFill>
                        <w14:solidFill>
                          <w14:schemeClr w14:val="tx1"/>
                        </w14:solidFill>
                      </w14:textFill>
                    </w:rPr>
                    <w:t>T</w:t>
                  </w:r>
                  <w:r>
                    <w:rPr>
                      <w:rFonts w:hint="eastAsia"/>
                      <w:color w:val="000000" w:themeColor="text1"/>
                      <w:sz w:val="21"/>
                      <w:szCs w:val="21"/>
                      <w14:textFill>
                        <w14:solidFill>
                          <w14:schemeClr w14:val="tx1"/>
                        </w14:solidFill>
                      </w14:textFill>
                    </w:rPr>
                    <w:t>机房）</w:t>
                  </w:r>
                </w:p>
              </w:tc>
              <w:tc>
                <w:tcPr>
                  <w:tcW w:w="709"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.53</w:t>
                  </w:r>
                </w:p>
              </w:tc>
              <w:tc>
                <w:tcPr>
                  <w:tcW w:w="8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.2</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5.82E-07</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1.48E-01</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4.73E-03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E</w:t>
                  </w:r>
                </w:p>
              </w:tc>
              <w:tc>
                <w:tcPr>
                  <w:tcW w:w="25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应急通道门外表面30cm处（走廊）</w:t>
                  </w:r>
                </w:p>
              </w:tc>
              <w:tc>
                <w:tcPr>
                  <w:tcW w:w="709"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.37</w:t>
                  </w:r>
                </w:p>
              </w:tc>
              <w:tc>
                <w:tcPr>
                  <w:tcW w:w="8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7.97E-05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1.32E+01</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4.23E-01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F</w:t>
                  </w:r>
                </w:p>
              </w:tc>
              <w:tc>
                <w:tcPr>
                  <w:tcW w:w="255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介入手术室东墙外表面30cm处（设备间）</w:t>
                  </w:r>
                </w:p>
              </w:tc>
              <w:tc>
                <w:tcPr>
                  <w:tcW w:w="709"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.24</w:t>
                  </w:r>
                </w:p>
              </w:tc>
              <w:tc>
                <w:tcPr>
                  <w:tcW w:w="85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.2</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5.82E-07</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1.03E-01</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3.28E-03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w:t>
                  </w:r>
                </w:p>
              </w:tc>
              <w:tc>
                <w:tcPr>
                  <w:tcW w:w="2551" w:type="dxa"/>
                  <w:tcBorders>
                    <w:bottom w:val="single" w:color="auto" w:sz="4" w:space="0"/>
                  </w:tcBorders>
                  <w:shd w:val="clear" w:color="auto" w:fill="auto"/>
                  <w:vAlign w:val="center"/>
                </w:tcPr>
                <w:p>
                  <w:pPr>
                    <w:snapToGrid w:val="0"/>
                    <w:spacing w:line="26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介入手术室南墙外表面30cm处（走廊）</w:t>
                  </w:r>
                </w:p>
              </w:tc>
              <w:tc>
                <w:tcPr>
                  <w:tcW w:w="709"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.26</w:t>
                  </w:r>
                </w:p>
              </w:tc>
              <w:tc>
                <w:tcPr>
                  <w:tcW w:w="851" w:type="dxa"/>
                  <w:tcBorders>
                    <w:bottom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.3</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4.31E-06</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1.28E+00</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4.11E-02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w:t>
                  </w:r>
                </w:p>
              </w:tc>
              <w:tc>
                <w:tcPr>
                  <w:tcW w:w="2551" w:type="dxa"/>
                  <w:shd w:val="clear" w:color="auto" w:fill="auto"/>
                  <w:vAlign w:val="center"/>
                </w:tcPr>
                <w:p>
                  <w:pPr>
                    <w:snapToGrid w:val="0"/>
                    <w:spacing w:line="26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污物出入防护门外表面30cm处（污物间）</w:t>
                  </w:r>
                </w:p>
              </w:tc>
              <w:tc>
                <w:tcPr>
                  <w:tcW w:w="709"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.41</w:t>
                  </w:r>
                </w:p>
              </w:tc>
              <w:tc>
                <w:tcPr>
                  <w:tcW w:w="85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7.97E-05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1.30E+01</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4.15E-01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shd w:val="clear" w:color="auto" w:fill="auto"/>
                  <w:vAlign w:val="center"/>
                </w:tcPr>
                <w:p>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I</w:t>
                  </w:r>
                </w:p>
              </w:tc>
              <w:tc>
                <w:tcPr>
                  <w:tcW w:w="2551" w:type="dxa"/>
                  <w:shd w:val="clear" w:color="auto" w:fill="auto"/>
                  <w:vAlign w:val="center"/>
                </w:tcPr>
                <w:p>
                  <w:pPr>
                    <w:snapToGrid w:val="0"/>
                    <w:spacing w:line="26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介入手术室西墙外表面30cm处（缓冲间）</w:t>
                  </w:r>
                </w:p>
              </w:tc>
              <w:tc>
                <w:tcPr>
                  <w:tcW w:w="709"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.07</w:t>
                  </w:r>
                </w:p>
              </w:tc>
              <w:tc>
                <w:tcPr>
                  <w:tcW w:w="85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.9</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1.13E-06</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2.17E-01</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6.94E-03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shd w:val="clear" w:color="auto" w:fill="auto"/>
                  <w:vAlign w:val="center"/>
                </w:tcPr>
                <w:p>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w:t>
                  </w:r>
                </w:p>
              </w:tc>
              <w:tc>
                <w:tcPr>
                  <w:tcW w:w="255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患者出入防护门外表面30cm处（缓冲间）</w:t>
                  </w:r>
                </w:p>
              </w:tc>
              <w:tc>
                <w:tcPr>
                  <w:tcW w:w="709"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.46</w:t>
                  </w:r>
                </w:p>
              </w:tc>
              <w:tc>
                <w:tcPr>
                  <w:tcW w:w="851"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w:t>
                  </w:r>
                </w:p>
              </w:tc>
              <w:tc>
                <w:tcPr>
                  <w:tcW w:w="1275" w:type="dxa"/>
                  <w:tcBorders>
                    <w:top w:val="single" w:color="auto" w:sz="4" w:space="0"/>
                    <w:left w:val="nil"/>
                    <w:bottom w:val="single" w:color="auto" w:sz="4"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7.97E-05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sz w:val="21"/>
                      <w:szCs w:val="21"/>
                    </w:rPr>
                  </w:pPr>
                  <w:r>
                    <w:rPr>
                      <w:sz w:val="21"/>
                      <w:szCs w:val="21"/>
                    </w:rPr>
                    <w:t>1.27E+01</w:t>
                  </w:r>
                </w:p>
              </w:tc>
              <w:tc>
                <w:tcPr>
                  <w:tcW w:w="1357" w:type="dxa"/>
                  <w:tcBorders>
                    <w:top w:val="single" w:color="auto" w:sz="4" w:space="0"/>
                    <w:left w:val="single" w:color="auto" w:sz="4" w:space="0"/>
                    <w:bottom w:val="single" w:color="auto" w:sz="4" w:space="0"/>
                    <w:right w:val="nil"/>
                  </w:tcBorders>
                  <w:shd w:val="clear" w:color="auto" w:fill="auto"/>
                  <w:vAlign w:val="center"/>
                </w:tcPr>
                <w:p>
                  <w:pPr>
                    <w:snapToGrid w:val="0"/>
                    <w:jc w:val="center"/>
                    <w:rPr>
                      <w:color w:val="000000"/>
                      <w:sz w:val="21"/>
                      <w:szCs w:val="21"/>
                    </w:rPr>
                  </w:pPr>
                  <w:r>
                    <w:rPr>
                      <w:sz w:val="21"/>
                      <w:szCs w:val="21"/>
                    </w:rPr>
                    <w:t>4.06E-01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1" w:type="dxa"/>
                  <w:tcBorders>
                    <w:bottom w:val="single" w:color="auto" w:sz="12" w:space="0"/>
                  </w:tcBorders>
                  <w:shd w:val="clear" w:color="auto" w:fill="auto"/>
                  <w:vAlign w:val="center"/>
                </w:tcPr>
                <w:p>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K</w:t>
                  </w:r>
                </w:p>
              </w:tc>
              <w:tc>
                <w:tcPr>
                  <w:tcW w:w="2551" w:type="dxa"/>
                  <w:tcBorders>
                    <w:bottom w:val="single" w:color="auto" w:sz="12"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介入手术室顶棚地面1m高度处（医生办公室）</w:t>
                  </w:r>
                </w:p>
              </w:tc>
              <w:tc>
                <w:tcPr>
                  <w:tcW w:w="709" w:type="dxa"/>
                  <w:tcBorders>
                    <w:bottom w:val="single" w:color="auto" w:sz="12"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.62</w:t>
                  </w:r>
                </w:p>
              </w:tc>
              <w:tc>
                <w:tcPr>
                  <w:tcW w:w="851" w:type="dxa"/>
                  <w:tcBorders>
                    <w:bottom w:val="single" w:color="auto" w:sz="12" w:space="0"/>
                  </w:tcBorders>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.4</w:t>
                  </w:r>
                </w:p>
              </w:tc>
              <w:tc>
                <w:tcPr>
                  <w:tcW w:w="1275" w:type="dxa"/>
                  <w:tcBorders>
                    <w:top w:val="single" w:color="auto" w:sz="4" w:space="0"/>
                    <w:left w:val="nil"/>
                    <w:bottom w:val="single" w:color="auto" w:sz="12" w:space="0"/>
                    <w:right w:val="single" w:color="auto" w:sz="4" w:space="0"/>
                  </w:tcBorders>
                  <w:shd w:val="clear" w:color="auto" w:fill="auto"/>
                  <w:vAlign w:val="center"/>
                </w:tcPr>
                <w:p>
                  <w:pPr>
                    <w:snapToGrid w:val="0"/>
                    <w:jc w:val="center"/>
                    <w:rPr>
                      <w:color w:val="000000" w:themeColor="text1"/>
                      <w:sz w:val="21"/>
                      <w:szCs w:val="21"/>
                      <w14:textFill>
                        <w14:solidFill>
                          <w14:schemeClr w14:val="tx1"/>
                        </w14:solidFill>
                      </w14:textFill>
                    </w:rPr>
                  </w:pPr>
                  <w:r>
                    <w:rPr>
                      <w:sz w:val="21"/>
                      <w:szCs w:val="21"/>
                    </w:rPr>
                    <w:t>3.23E-05</w:t>
                  </w:r>
                </w:p>
              </w:tc>
              <w:tc>
                <w:tcPr>
                  <w:tcW w:w="1418" w:type="dxa"/>
                  <w:tcBorders>
                    <w:top w:val="single" w:color="auto" w:sz="4" w:space="0"/>
                    <w:left w:val="single" w:color="auto" w:sz="4" w:space="0"/>
                    <w:bottom w:val="single" w:color="auto" w:sz="12" w:space="0"/>
                    <w:right w:val="single" w:color="auto" w:sz="4" w:space="0"/>
                  </w:tcBorders>
                  <w:shd w:val="clear" w:color="auto" w:fill="auto"/>
                  <w:vAlign w:val="center"/>
                </w:tcPr>
                <w:p>
                  <w:pPr>
                    <w:snapToGrid w:val="0"/>
                    <w:jc w:val="center"/>
                    <w:rPr>
                      <w:color w:val="00B0F0"/>
                      <w:sz w:val="21"/>
                      <w:szCs w:val="21"/>
                    </w:rPr>
                  </w:pPr>
                  <w:r>
                    <w:rPr>
                      <w:sz w:val="21"/>
                      <w:szCs w:val="21"/>
                    </w:rPr>
                    <w:t>7.80E+00</w:t>
                  </w:r>
                </w:p>
              </w:tc>
              <w:tc>
                <w:tcPr>
                  <w:tcW w:w="1357" w:type="dxa"/>
                  <w:tcBorders>
                    <w:top w:val="single" w:color="auto" w:sz="4" w:space="0"/>
                    <w:left w:val="single" w:color="auto" w:sz="4" w:space="0"/>
                    <w:bottom w:val="single" w:color="auto" w:sz="12" w:space="0"/>
                    <w:right w:val="nil"/>
                  </w:tcBorders>
                  <w:shd w:val="clear" w:color="auto" w:fill="auto"/>
                  <w:vAlign w:val="center"/>
                </w:tcPr>
                <w:p>
                  <w:pPr>
                    <w:snapToGrid w:val="0"/>
                    <w:jc w:val="center"/>
                    <w:rPr>
                      <w:color w:val="00B0F0"/>
                      <w:sz w:val="21"/>
                      <w:szCs w:val="21"/>
                    </w:rPr>
                  </w:pPr>
                  <w:r>
                    <w:rPr>
                      <w:sz w:val="21"/>
                      <w:szCs w:val="21"/>
                    </w:rPr>
                    <w:t>2.50E-01</w:t>
                  </w:r>
                </w:p>
              </w:tc>
            </w:tr>
          </w:tbl>
          <w:p>
            <w:pPr>
              <w:spacing w:line="360" w:lineRule="auto"/>
              <w:ind w:firstLine="240" w:firstLineChars="100"/>
              <w:jc w:val="left"/>
              <w:rPr>
                <w:bCs/>
                <w:color w:val="000000"/>
              </w:rPr>
            </w:pPr>
            <w:r>
              <w:rPr>
                <w:bCs/>
                <w:color w:val="000000"/>
              </w:rPr>
              <w:t>（3）辐射剂量率</w:t>
            </w:r>
          </w:p>
          <w:p>
            <w:pPr>
              <w:spacing w:line="360" w:lineRule="auto"/>
              <w:ind w:firstLine="480" w:firstLineChars="200"/>
              <w:jc w:val="left"/>
              <w:rPr>
                <w:bCs/>
                <w:color w:val="000000"/>
              </w:rPr>
            </w:pPr>
            <w:r>
              <w:rPr>
                <w:bCs/>
                <w:color w:val="000000"/>
              </w:rPr>
              <w:t>本项目DSA手术室防护门、观察窗、四周墙壁等各关注点的辐射剂量率估算</w:t>
            </w:r>
            <w:r>
              <w:rPr>
                <w:rFonts w:hint="eastAsia"/>
                <w:bCs/>
                <w:color w:val="000000"/>
              </w:rPr>
              <w:t>结果</w:t>
            </w:r>
            <w:r>
              <w:rPr>
                <w:bCs/>
                <w:color w:val="000000"/>
              </w:rPr>
              <w:t>见表11-4。</w:t>
            </w:r>
          </w:p>
          <w:p>
            <w:pPr>
              <w:spacing w:line="360" w:lineRule="auto"/>
              <w:rPr>
                <w:b/>
                <w:color w:val="000000"/>
                <w:kern w:val="0"/>
              </w:rPr>
            </w:pPr>
          </w:p>
          <w:p>
            <w:pPr>
              <w:pStyle w:val="2"/>
              <w:ind w:firstLine="480"/>
              <w:rPr>
                <w:rFonts w:eastAsiaTheme="minorEastAsia"/>
              </w:rPr>
            </w:pPr>
          </w:p>
          <w:p>
            <w:pPr>
              <w:spacing w:line="360" w:lineRule="auto"/>
              <w:jc w:val="center"/>
              <w:rPr>
                <w:rFonts w:ascii="宋体" w:hAnsi="宋体"/>
                <w:b/>
                <w:color w:val="000000"/>
                <w:kern w:val="0"/>
                <w:sz w:val="21"/>
                <w:szCs w:val="21"/>
              </w:rPr>
            </w:pPr>
            <w:r>
              <w:rPr>
                <w:rFonts w:ascii="宋体" w:hAnsi="宋体"/>
                <w:b/>
                <w:color w:val="000000"/>
                <w:kern w:val="0"/>
                <w:sz w:val="21"/>
                <w:szCs w:val="21"/>
              </w:rPr>
              <w:t>表</w:t>
            </w:r>
            <w:r>
              <w:rPr>
                <w:b/>
                <w:color w:val="000000"/>
                <w:kern w:val="0"/>
                <w:sz w:val="21"/>
                <w:szCs w:val="21"/>
              </w:rPr>
              <w:t>11-4  DSA</w:t>
            </w:r>
            <w:r>
              <w:rPr>
                <w:rFonts w:ascii="宋体" w:hAnsi="宋体"/>
                <w:b/>
                <w:color w:val="000000"/>
                <w:kern w:val="0"/>
                <w:sz w:val="21"/>
                <w:szCs w:val="21"/>
              </w:rPr>
              <w:t>手术室各关注点辐射剂量率估算结果</w:t>
            </w:r>
          </w:p>
          <w:tbl>
            <w:tblPr>
              <w:tblStyle w:val="16"/>
              <w:tblW w:w="880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0"/>
              <w:gridCol w:w="1760"/>
              <w:gridCol w:w="1134"/>
              <w:gridCol w:w="1134"/>
              <w:gridCol w:w="1134"/>
              <w:gridCol w:w="1134"/>
              <w:gridCol w:w="1071"/>
              <w:gridCol w:w="10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gridSpan w:val="2"/>
                  <w:vMerge w:val="restart"/>
                  <w:tcBorders>
                    <w:top w:val="single" w:color="auto" w:sz="12" w:space="0"/>
                  </w:tcBorders>
                  <w:vAlign w:val="center"/>
                </w:tcPr>
                <w:p>
                  <w:pPr>
                    <w:snapToGrid w:val="0"/>
                    <w:jc w:val="center"/>
                    <w:rPr>
                      <w:color w:val="000000"/>
                      <w:szCs w:val="21"/>
                    </w:rPr>
                  </w:pPr>
                  <w:r>
                    <w:rPr>
                      <w:color w:val="000000"/>
                      <w:szCs w:val="21"/>
                    </w:rPr>
                    <w:t>关注点位置描述</w:t>
                  </w:r>
                </w:p>
              </w:tc>
              <w:tc>
                <w:tcPr>
                  <w:tcW w:w="3402" w:type="dxa"/>
                  <w:gridSpan w:val="3"/>
                  <w:tcBorders>
                    <w:top w:val="single" w:color="auto" w:sz="12" w:space="0"/>
                  </w:tcBorders>
                  <w:shd w:val="clear" w:color="auto" w:fill="auto"/>
                  <w:vAlign w:val="center"/>
                </w:tcPr>
                <w:p>
                  <w:pPr>
                    <w:snapToGrid w:val="0"/>
                    <w:jc w:val="center"/>
                    <w:rPr>
                      <w:color w:val="000000"/>
                      <w:szCs w:val="21"/>
                    </w:rPr>
                  </w:pPr>
                  <w:r>
                    <w:rPr>
                      <w:color w:val="000000"/>
                      <w:szCs w:val="21"/>
                    </w:rPr>
                    <w:t>采集状态</w:t>
                  </w:r>
                </w:p>
              </w:tc>
              <w:tc>
                <w:tcPr>
                  <w:tcW w:w="3246" w:type="dxa"/>
                  <w:gridSpan w:val="3"/>
                  <w:tcBorders>
                    <w:top w:val="single" w:color="auto" w:sz="12" w:space="0"/>
                  </w:tcBorders>
                  <w:shd w:val="clear" w:color="auto" w:fill="auto"/>
                  <w:vAlign w:val="center"/>
                </w:tcPr>
                <w:p>
                  <w:pPr>
                    <w:snapToGrid w:val="0"/>
                    <w:jc w:val="center"/>
                    <w:rPr>
                      <w:color w:val="000000"/>
                      <w:szCs w:val="21"/>
                    </w:rPr>
                  </w:pPr>
                  <w:r>
                    <w:rPr>
                      <w:color w:val="000000"/>
                      <w:szCs w:val="21"/>
                    </w:rPr>
                    <w:t>透视状态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gridSpan w:val="2"/>
                  <w:vMerge w:val="continue"/>
                  <w:tcBorders>
                    <w:bottom w:val="single" w:color="auto" w:sz="12" w:space="0"/>
                  </w:tcBorders>
                  <w:vAlign w:val="center"/>
                </w:tcPr>
                <w:p>
                  <w:pPr>
                    <w:snapToGrid w:val="0"/>
                    <w:jc w:val="center"/>
                    <w:rPr>
                      <w:color w:val="000000"/>
                      <w:szCs w:val="21"/>
                    </w:rPr>
                  </w:pPr>
                </w:p>
              </w:tc>
              <w:tc>
                <w:tcPr>
                  <w:tcW w:w="1134" w:type="dxa"/>
                  <w:tcBorders>
                    <w:bottom w:val="single" w:color="auto" w:sz="12" w:space="0"/>
                  </w:tcBorders>
                  <w:shd w:val="clear" w:color="auto" w:fill="auto"/>
                  <w:vAlign w:val="center"/>
                </w:tcPr>
                <w:p>
                  <w:pPr>
                    <w:snapToGrid w:val="0"/>
                    <w:jc w:val="center"/>
                    <w:rPr>
                      <w:color w:val="000000"/>
                      <w:szCs w:val="21"/>
                    </w:rPr>
                  </w:pPr>
                  <w:r>
                    <w:rPr>
                      <w:color w:val="000000"/>
                      <w:szCs w:val="21"/>
                    </w:rPr>
                    <w:t>泄漏辐射剂量率H</w:t>
                  </w:r>
                  <w:r>
                    <w:rPr>
                      <w:color w:val="000000"/>
                      <w:szCs w:val="21"/>
                      <w:vertAlign w:val="subscript"/>
                    </w:rPr>
                    <w:t>L</w:t>
                  </w:r>
                </w:p>
              </w:tc>
              <w:tc>
                <w:tcPr>
                  <w:tcW w:w="1134" w:type="dxa"/>
                  <w:tcBorders>
                    <w:bottom w:val="single" w:color="auto" w:sz="12" w:space="0"/>
                  </w:tcBorders>
                  <w:shd w:val="clear" w:color="auto" w:fill="auto"/>
                  <w:vAlign w:val="center"/>
                </w:tcPr>
                <w:p>
                  <w:pPr>
                    <w:snapToGrid w:val="0"/>
                    <w:jc w:val="center"/>
                    <w:rPr>
                      <w:color w:val="000000"/>
                      <w:szCs w:val="21"/>
                    </w:rPr>
                  </w:pPr>
                  <w:r>
                    <w:rPr>
                      <w:color w:val="000000"/>
                      <w:szCs w:val="21"/>
                    </w:rPr>
                    <w:t>散射辐射剂量率H</w:t>
                  </w:r>
                  <w:r>
                    <w:rPr>
                      <w:color w:val="000000"/>
                      <w:szCs w:val="21"/>
                      <w:vertAlign w:val="subscript"/>
                    </w:rPr>
                    <w:t>S</w:t>
                  </w:r>
                </w:p>
              </w:tc>
              <w:tc>
                <w:tcPr>
                  <w:tcW w:w="1134" w:type="dxa"/>
                  <w:tcBorders>
                    <w:bottom w:val="single" w:color="auto" w:sz="12" w:space="0"/>
                  </w:tcBorders>
                  <w:shd w:val="clear" w:color="auto" w:fill="auto"/>
                  <w:vAlign w:val="center"/>
                </w:tcPr>
                <w:p>
                  <w:pPr>
                    <w:snapToGrid w:val="0"/>
                    <w:jc w:val="center"/>
                    <w:rPr>
                      <w:color w:val="000000"/>
                      <w:szCs w:val="21"/>
                    </w:rPr>
                  </w:pPr>
                  <w:r>
                    <w:rPr>
                      <w:color w:val="000000"/>
                      <w:szCs w:val="21"/>
                    </w:rPr>
                    <w:t>总有效剂量率H</w:t>
                  </w:r>
                  <w:r>
                    <w:rPr>
                      <w:color w:val="000000"/>
                      <w:szCs w:val="21"/>
                      <w:vertAlign w:val="subscript"/>
                    </w:rPr>
                    <w:t>R</w:t>
                  </w:r>
                </w:p>
              </w:tc>
              <w:tc>
                <w:tcPr>
                  <w:tcW w:w="1134" w:type="dxa"/>
                  <w:tcBorders>
                    <w:bottom w:val="single" w:color="auto" w:sz="12" w:space="0"/>
                  </w:tcBorders>
                  <w:shd w:val="clear" w:color="auto" w:fill="auto"/>
                  <w:vAlign w:val="center"/>
                </w:tcPr>
                <w:p>
                  <w:pPr>
                    <w:snapToGrid w:val="0"/>
                    <w:jc w:val="center"/>
                    <w:rPr>
                      <w:color w:val="000000"/>
                      <w:szCs w:val="21"/>
                    </w:rPr>
                  </w:pPr>
                  <w:r>
                    <w:rPr>
                      <w:color w:val="000000"/>
                      <w:szCs w:val="21"/>
                    </w:rPr>
                    <w:t>泄漏辐射剂量率H</w:t>
                  </w:r>
                  <w:r>
                    <w:rPr>
                      <w:color w:val="000000"/>
                      <w:szCs w:val="21"/>
                      <w:vertAlign w:val="subscript"/>
                    </w:rPr>
                    <w:t>L</w:t>
                  </w:r>
                </w:p>
              </w:tc>
              <w:tc>
                <w:tcPr>
                  <w:tcW w:w="1071" w:type="dxa"/>
                  <w:tcBorders>
                    <w:bottom w:val="single" w:color="auto" w:sz="12" w:space="0"/>
                  </w:tcBorders>
                  <w:shd w:val="clear" w:color="auto" w:fill="auto"/>
                  <w:vAlign w:val="center"/>
                </w:tcPr>
                <w:p>
                  <w:pPr>
                    <w:snapToGrid w:val="0"/>
                    <w:jc w:val="center"/>
                    <w:rPr>
                      <w:color w:val="000000"/>
                      <w:szCs w:val="21"/>
                    </w:rPr>
                  </w:pPr>
                  <w:r>
                    <w:rPr>
                      <w:color w:val="000000"/>
                      <w:szCs w:val="21"/>
                    </w:rPr>
                    <w:t>散射辐射剂量率H</w:t>
                  </w:r>
                  <w:r>
                    <w:rPr>
                      <w:color w:val="000000"/>
                      <w:szCs w:val="21"/>
                      <w:vertAlign w:val="subscript"/>
                    </w:rPr>
                    <w:t>S</w:t>
                  </w:r>
                </w:p>
              </w:tc>
              <w:tc>
                <w:tcPr>
                  <w:tcW w:w="1041" w:type="dxa"/>
                  <w:tcBorders>
                    <w:bottom w:val="single" w:color="auto" w:sz="12" w:space="0"/>
                  </w:tcBorders>
                  <w:shd w:val="clear" w:color="auto" w:fill="auto"/>
                  <w:vAlign w:val="center"/>
                </w:tcPr>
                <w:p>
                  <w:pPr>
                    <w:snapToGrid w:val="0"/>
                    <w:jc w:val="center"/>
                    <w:rPr>
                      <w:color w:val="000000"/>
                      <w:szCs w:val="21"/>
                    </w:rPr>
                  </w:pPr>
                  <w:r>
                    <w:rPr>
                      <w:color w:val="000000"/>
                      <w:szCs w:val="21"/>
                    </w:rPr>
                    <w:t>总有效剂量率H</w:t>
                  </w:r>
                  <w:r>
                    <w:rPr>
                      <w:color w:val="000000"/>
                      <w:szCs w:val="21"/>
                      <w:vertAlign w:val="subscript"/>
                    </w:rPr>
                    <w:t>R</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gridSpan w:val="2"/>
                  <w:tcBorders>
                    <w:top w:val="single" w:color="auto" w:sz="12" w:space="0"/>
                  </w:tcBorders>
                  <w:vAlign w:val="center"/>
                </w:tcPr>
                <w:p>
                  <w:pPr>
                    <w:jc w:val="center"/>
                    <w:rPr>
                      <w:color w:val="000000"/>
                      <w:szCs w:val="21"/>
                    </w:rPr>
                  </w:pPr>
                  <w:r>
                    <w:rPr>
                      <w:color w:val="000000"/>
                      <w:szCs w:val="21"/>
                    </w:rPr>
                    <w:t>单位</w:t>
                  </w:r>
                </w:p>
              </w:tc>
              <w:tc>
                <w:tcPr>
                  <w:tcW w:w="1134" w:type="dxa"/>
                  <w:tcBorders>
                    <w:top w:val="single" w:color="auto" w:sz="12" w:space="0"/>
                  </w:tcBorders>
                  <w:shd w:val="clear" w:color="auto" w:fill="auto"/>
                  <w:vAlign w:val="center"/>
                </w:tcPr>
                <w:p>
                  <w:pPr>
                    <w:jc w:val="center"/>
                    <w:rPr>
                      <w:color w:val="000000"/>
                      <w:szCs w:val="21"/>
                    </w:rPr>
                  </w:pPr>
                  <w:r>
                    <w:rPr>
                      <w:color w:val="000000"/>
                      <w:szCs w:val="21"/>
                    </w:rPr>
                    <w:t>µSv/h</w:t>
                  </w:r>
                </w:p>
              </w:tc>
              <w:tc>
                <w:tcPr>
                  <w:tcW w:w="1134" w:type="dxa"/>
                  <w:tcBorders>
                    <w:top w:val="single" w:color="auto" w:sz="12" w:space="0"/>
                  </w:tcBorders>
                  <w:shd w:val="clear" w:color="auto" w:fill="auto"/>
                  <w:vAlign w:val="center"/>
                </w:tcPr>
                <w:p>
                  <w:pPr>
                    <w:jc w:val="center"/>
                    <w:rPr>
                      <w:color w:val="000000"/>
                      <w:szCs w:val="21"/>
                    </w:rPr>
                  </w:pPr>
                  <w:r>
                    <w:rPr>
                      <w:color w:val="000000"/>
                      <w:szCs w:val="21"/>
                    </w:rPr>
                    <w:t>µSv/h</w:t>
                  </w:r>
                </w:p>
              </w:tc>
              <w:tc>
                <w:tcPr>
                  <w:tcW w:w="1134" w:type="dxa"/>
                  <w:tcBorders>
                    <w:top w:val="single" w:color="auto" w:sz="12" w:space="0"/>
                  </w:tcBorders>
                  <w:shd w:val="clear" w:color="auto" w:fill="auto"/>
                  <w:vAlign w:val="center"/>
                </w:tcPr>
                <w:p>
                  <w:pPr>
                    <w:jc w:val="center"/>
                    <w:rPr>
                      <w:color w:val="000000"/>
                      <w:szCs w:val="21"/>
                    </w:rPr>
                  </w:pPr>
                  <w:r>
                    <w:rPr>
                      <w:color w:val="000000"/>
                      <w:szCs w:val="21"/>
                    </w:rPr>
                    <w:t>µSv/h</w:t>
                  </w:r>
                </w:p>
              </w:tc>
              <w:tc>
                <w:tcPr>
                  <w:tcW w:w="1134" w:type="dxa"/>
                  <w:tcBorders>
                    <w:top w:val="single" w:color="auto" w:sz="12" w:space="0"/>
                  </w:tcBorders>
                  <w:shd w:val="clear" w:color="auto" w:fill="auto"/>
                  <w:vAlign w:val="center"/>
                </w:tcPr>
                <w:p>
                  <w:pPr>
                    <w:jc w:val="center"/>
                    <w:rPr>
                      <w:color w:val="000000"/>
                      <w:szCs w:val="21"/>
                    </w:rPr>
                  </w:pPr>
                  <w:r>
                    <w:rPr>
                      <w:color w:val="000000"/>
                      <w:szCs w:val="21"/>
                    </w:rPr>
                    <w:t>µSv/h</w:t>
                  </w:r>
                </w:p>
              </w:tc>
              <w:tc>
                <w:tcPr>
                  <w:tcW w:w="1071" w:type="dxa"/>
                  <w:tcBorders>
                    <w:top w:val="single" w:color="auto" w:sz="12" w:space="0"/>
                  </w:tcBorders>
                  <w:shd w:val="clear" w:color="auto" w:fill="auto"/>
                  <w:vAlign w:val="center"/>
                </w:tcPr>
                <w:p>
                  <w:pPr>
                    <w:jc w:val="center"/>
                    <w:rPr>
                      <w:color w:val="000000"/>
                      <w:szCs w:val="21"/>
                    </w:rPr>
                  </w:pPr>
                  <w:r>
                    <w:rPr>
                      <w:color w:val="000000"/>
                      <w:szCs w:val="21"/>
                    </w:rPr>
                    <w:t>µSv/h</w:t>
                  </w:r>
                </w:p>
              </w:tc>
              <w:tc>
                <w:tcPr>
                  <w:tcW w:w="1041" w:type="dxa"/>
                  <w:tcBorders>
                    <w:top w:val="single" w:color="auto" w:sz="12" w:space="0"/>
                  </w:tcBorders>
                  <w:shd w:val="clear" w:color="auto" w:fill="auto"/>
                  <w:vAlign w:val="center"/>
                </w:tcPr>
                <w:p>
                  <w:pPr>
                    <w:jc w:val="center"/>
                    <w:rPr>
                      <w:color w:val="000000"/>
                      <w:szCs w:val="21"/>
                    </w:rPr>
                  </w:pPr>
                  <w:r>
                    <w:rPr>
                      <w:color w:val="000000"/>
                      <w:szCs w:val="21"/>
                    </w:rPr>
                    <w:t>µSv/h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00" w:type="dxa"/>
                  <w:tcBorders>
                    <w:bottom w:val="single" w:color="auto" w:sz="4" w:space="0"/>
                    <w:right w:val="single" w:color="auto" w:sz="4" w:space="0"/>
                  </w:tcBorders>
                  <w:shd w:val="clear" w:color="auto" w:fill="auto"/>
                  <w:vAlign w:val="center"/>
                </w:tcPr>
                <w:p>
                  <w:pPr>
                    <w:snapToGrid w:val="0"/>
                    <w:jc w:val="center"/>
                    <w:rPr>
                      <w:color w:val="4472C4"/>
                    </w:rPr>
                  </w:pPr>
                  <w:r>
                    <w:rPr>
                      <w:rFonts w:hint="eastAsia"/>
                      <w:color w:val="000000"/>
                      <w:szCs w:val="21"/>
                    </w:rPr>
                    <w:t>A</w:t>
                  </w:r>
                </w:p>
              </w:tc>
              <w:tc>
                <w:tcPr>
                  <w:tcW w:w="1760" w:type="dxa"/>
                  <w:tcBorders>
                    <w:bottom w:val="single" w:color="auto" w:sz="4" w:space="0"/>
                  </w:tcBorders>
                  <w:shd w:val="clear" w:color="auto" w:fill="auto"/>
                  <w:vAlign w:val="center"/>
                </w:tcPr>
                <w:p>
                  <w:pPr>
                    <w:snapToGrid w:val="0"/>
                    <w:jc w:val="center"/>
                    <w:rPr>
                      <w:color w:val="4472C4"/>
                    </w:rPr>
                  </w:pPr>
                  <w:r>
                    <w:rPr>
                      <w:rFonts w:hint="eastAsia"/>
                      <w:color w:val="000000" w:themeColor="text1"/>
                      <w:sz w:val="21"/>
                      <w:szCs w:val="21"/>
                      <w14:textFill>
                        <w14:solidFill>
                          <w14:schemeClr w14:val="tx1"/>
                        </w14:solidFill>
                      </w14:textFill>
                    </w:rPr>
                    <w:t>医护出入防护门外表面30cm处</w:t>
                  </w:r>
                </w:p>
              </w:tc>
              <w:tc>
                <w:tcPr>
                  <w:tcW w:w="1134" w:type="dxa"/>
                  <w:shd w:val="clear" w:color="auto" w:fill="auto"/>
                  <w:vAlign w:val="center"/>
                </w:tcPr>
                <w:p>
                  <w:pPr>
                    <w:jc w:val="center"/>
                    <w:rPr>
                      <w:color w:val="4472C4"/>
                      <w:sz w:val="21"/>
                      <w:szCs w:val="21"/>
                    </w:rPr>
                  </w:pPr>
                  <w:r>
                    <w:rPr>
                      <w:sz w:val="21"/>
                      <w:szCs w:val="21"/>
                    </w:rPr>
                    <w:t>2.04E+00</w:t>
                  </w:r>
                </w:p>
              </w:tc>
              <w:tc>
                <w:tcPr>
                  <w:tcW w:w="1134" w:type="dxa"/>
                  <w:shd w:val="clear" w:color="auto" w:fill="auto"/>
                  <w:vAlign w:val="center"/>
                </w:tcPr>
                <w:p>
                  <w:pPr>
                    <w:jc w:val="center"/>
                    <w:rPr>
                      <w:color w:val="4472C4"/>
                      <w:sz w:val="21"/>
                      <w:szCs w:val="21"/>
                    </w:rPr>
                  </w:pPr>
                  <w:r>
                    <w:rPr>
                      <w:sz w:val="21"/>
                      <w:szCs w:val="21"/>
                    </w:rPr>
                    <w:t>1.22E+01</w:t>
                  </w:r>
                </w:p>
              </w:tc>
              <w:tc>
                <w:tcPr>
                  <w:tcW w:w="1134" w:type="dxa"/>
                  <w:shd w:val="clear" w:color="auto" w:fill="auto"/>
                  <w:vAlign w:val="center"/>
                </w:tcPr>
                <w:p>
                  <w:pPr>
                    <w:jc w:val="center"/>
                    <w:rPr>
                      <w:color w:val="000000"/>
                      <w:sz w:val="21"/>
                      <w:szCs w:val="21"/>
                    </w:rPr>
                  </w:pPr>
                  <w:r>
                    <w:rPr>
                      <w:sz w:val="21"/>
                      <w:szCs w:val="21"/>
                    </w:rPr>
                    <w:t>1.43E+01</w:t>
                  </w:r>
                </w:p>
              </w:tc>
              <w:tc>
                <w:tcPr>
                  <w:tcW w:w="1134" w:type="dxa"/>
                  <w:shd w:val="clear" w:color="auto" w:fill="auto"/>
                  <w:vAlign w:val="center"/>
                </w:tcPr>
                <w:p>
                  <w:pPr>
                    <w:snapToGrid w:val="0"/>
                    <w:jc w:val="center"/>
                    <w:rPr>
                      <w:color w:val="000000"/>
                      <w:sz w:val="21"/>
                      <w:szCs w:val="21"/>
                    </w:rPr>
                  </w:pPr>
                  <w:r>
                    <w:rPr>
                      <w:sz w:val="21"/>
                      <w:szCs w:val="21"/>
                    </w:rPr>
                    <w:t>6.53E-02</w:t>
                  </w:r>
                </w:p>
              </w:tc>
              <w:tc>
                <w:tcPr>
                  <w:tcW w:w="1071" w:type="dxa"/>
                  <w:shd w:val="clear" w:color="auto" w:fill="auto"/>
                  <w:vAlign w:val="center"/>
                </w:tcPr>
                <w:p>
                  <w:pPr>
                    <w:snapToGrid w:val="0"/>
                    <w:jc w:val="center"/>
                    <w:rPr>
                      <w:color w:val="000000"/>
                      <w:sz w:val="21"/>
                      <w:szCs w:val="21"/>
                    </w:rPr>
                  </w:pPr>
                  <w:r>
                    <w:rPr>
                      <w:sz w:val="21"/>
                      <w:szCs w:val="21"/>
                    </w:rPr>
                    <w:t>3.92E-01</w:t>
                  </w:r>
                </w:p>
              </w:tc>
              <w:tc>
                <w:tcPr>
                  <w:tcW w:w="1041" w:type="dxa"/>
                  <w:shd w:val="clear" w:color="auto" w:fill="auto"/>
                  <w:vAlign w:val="center"/>
                </w:tcPr>
                <w:p>
                  <w:pPr>
                    <w:jc w:val="center"/>
                    <w:rPr>
                      <w:color w:val="000000"/>
                      <w:sz w:val="21"/>
                      <w:szCs w:val="21"/>
                    </w:rPr>
                  </w:pPr>
                  <w:r>
                    <w:rPr>
                      <w:sz w:val="21"/>
                      <w:szCs w:val="21"/>
                    </w:rPr>
                    <w:t>4.57E-01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400" w:type="dxa"/>
                  <w:tcBorders>
                    <w:right w:val="single" w:color="auto" w:sz="4" w:space="0"/>
                  </w:tcBorders>
                  <w:shd w:val="clear" w:color="auto" w:fill="auto"/>
                  <w:vAlign w:val="center"/>
                </w:tcPr>
                <w:p>
                  <w:pPr>
                    <w:snapToGrid w:val="0"/>
                    <w:jc w:val="center"/>
                    <w:rPr>
                      <w:color w:val="4472C4"/>
                    </w:rPr>
                  </w:pPr>
                  <w:r>
                    <w:rPr>
                      <w:rFonts w:hint="eastAsia"/>
                      <w:color w:val="000000"/>
                      <w:szCs w:val="21"/>
                    </w:rPr>
                    <w:t>B</w:t>
                  </w:r>
                </w:p>
              </w:tc>
              <w:tc>
                <w:tcPr>
                  <w:tcW w:w="1760" w:type="dxa"/>
                  <w:shd w:val="clear" w:color="auto" w:fill="auto"/>
                  <w:vAlign w:val="center"/>
                </w:tcPr>
                <w:p>
                  <w:pPr>
                    <w:snapToGrid w:val="0"/>
                    <w:jc w:val="center"/>
                    <w:rPr>
                      <w:color w:val="4472C4"/>
                    </w:rPr>
                  </w:pPr>
                  <w:r>
                    <w:rPr>
                      <w:rFonts w:hint="eastAsia"/>
                      <w:color w:val="000000" w:themeColor="text1"/>
                      <w:sz w:val="21"/>
                      <w:szCs w:val="21"/>
                      <w14:textFill>
                        <w14:solidFill>
                          <w14:schemeClr w14:val="tx1"/>
                        </w14:solidFill>
                      </w14:textFill>
                    </w:rPr>
                    <w:t>介入手术室北墙外表面30cm处（操作间）</w:t>
                  </w:r>
                </w:p>
              </w:tc>
              <w:tc>
                <w:tcPr>
                  <w:tcW w:w="1134" w:type="dxa"/>
                  <w:tcBorders>
                    <w:bottom w:val="single" w:color="auto" w:sz="4" w:space="0"/>
                  </w:tcBorders>
                  <w:shd w:val="clear" w:color="auto" w:fill="auto"/>
                  <w:vAlign w:val="center"/>
                </w:tcPr>
                <w:p>
                  <w:pPr>
                    <w:jc w:val="center"/>
                    <w:rPr>
                      <w:color w:val="4472C4"/>
                      <w:sz w:val="21"/>
                      <w:szCs w:val="21"/>
                    </w:rPr>
                  </w:pPr>
                  <w:r>
                    <w:rPr>
                      <w:sz w:val="21"/>
                      <w:szCs w:val="21"/>
                    </w:rPr>
                    <w:t>2.63E-02</w:t>
                  </w:r>
                </w:p>
              </w:tc>
              <w:tc>
                <w:tcPr>
                  <w:tcW w:w="1134" w:type="dxa"/>
                  <w:tcBorders>
                    <w:bottom w:val="single" w:color="auto" w:sz="4" w:space="0"/>
                  </w:tcBorders>
                  <w:shd w:val="clear" w:color="auto" w:fill="auto"/>
                  <w:vAlign w:val="center"/>
                </w:tcPr>
                <w:p>
                  <w:pPr>
                    <w:jc w:val="center"/>
                    <w:rPr>
                      <w:color w:val="4472C4"/>
                      <w:sz w:val="21"/>
                      <w:szCs w:val="21"/>
                    </w:rPr>
                  </w:pPr>
                  <w:r>
                    <w:rPr>
                      <w:sz w:val="21"/>
                      <w:szCs w:val="21"/>
                    </w:rPr>
                    <w:t>1.58E-01</w:t>
                  </w:r>
                </w:p>
              </w:tc>
              <w:tc>
                <w:tcPr>
                  <w:tcW w:w="1134" w:type="dxa"/>
                  <w:tcBorders>
                    <w:bottom w:val="single" w:color="auto" w:sz="4" w:space="0"/>
                  </w:tcBorders>
                  <w:shd w:val="clear" w:color="auto" w:fill="auto"/>
                  <w:vAlign w:val="center"/>
                </w:tcPr>
                <w:p>
                  <w:pPr>
                    <w:jc w:val="center"/>
                    <w:rPr>
                      <w:color w:val="000000"/>
                      <w:sz w:val="21"/>
                      <w:szCs w:val="21"/>
                    </w:rPr>
                  </w:pPr>
                  <w:r>
                    <w:rPr>
                      <w:sz w:val="21"/>
                      <w:szCs w:val="21"/>
                    </w:rPr>
                    <w:t>1.84E-01</w:t>
                  </w:r>
                </w:p>
              </w:tc>
              <w:tc>
                <w:tcPr>
                  <w:tcW w:w="1134" w:type="dxa"/>
                  <w:tcBorders>
                    <w:bottom w:val="single" w:color="auto" w:sz="4" w:space="0"/>
                  </w:tcBorders>
                  <w:shd w:val="clear" w:color="auto" w:fill="auto"/>
                  <w:vAlign w:val="center"/>
                </w:tcPr>
                <w:p>
                  <w:pPr>
                    <w:snapToGrid w:val="0"/>
                    <w:jc w:val="center"/>
                    <w:rPr>
                      <w:color w:val="000000"/>
                      <w:sz w:val="21"/>
                      <w:szCs w:val="21"/>
                    </w:rPr>
                  </w:pPr>
                  <w:r>
                    <w:rPr>
                      <w:sz w:val="21"/>
                      <w:szCs w:val="21"/>
                    </w:rPr>
                    <w:t>8.40E-04</w:t>
                  </w:r>
                </w:p>
              </w:tc>
              <w:tc>
                <w:tcPr>
                  <w:tcW w:w="1071" w:type="dxa"/>
                  <w:tcBorders>
                    <w:bottom w:val="single" w:color="auto" w:sz="4" w:space="0"/>
                  </w:tcBorders>
                  <w:shd w:val="clear" w:color="auto" w:fill="auto"/>
                  <w:vAlign w:val="center"/>
                </w:tcPr>
                <w:p>
                  <w:pPr>
                    <w:snapToGrid w:val="0"/>
                    <w:jc w:val="center"/>
                    <w:rPr>
                      <w:color w:val="000000"/>
                      <w:sz w:val="21"/>
                      <w:szCs w:val="21"/>
                    </w:rPr>
                  </w:pPr>
                  <w:r>
                    <w:rPr>
                      <w:sz w:val="21"/>
                      <w:szCs w:val="21"/>
                    </w:rPr>
                    <w:t>5.04E-03</w:t>
                  </w:r>
                </w:p>
              </w:tc>
              <w:tc>
                <w:tcPr>
                  <w:tcW w:w="1041" w:type="dxa"/>
                  <w:tcBorders>
                    <w:bottom w:val="single" w:color="auto" w:sz="4" w:space="0"/>
                  </w:tcBorders>
                  <w:shd w:val="clear" w:color="auto" w:fill="auto"/>
                  <w:vAlign w:val="center"/>
                </w:tcPr>
                <w:p>
                  <w:pPr>
                    <w:jc w:val="center"/>
                    <w:rPr>
                      <w:color w:val="000000"/>
                      <w:sz w:val="21"/>
                      <w:szCs w:val="21"/>
                    </w:rPr>
                  </w:pPr>
                  <w:r>
                    <w:rPr>
                      <w:sz w:val="21"/>
                      <w:szCs w:val="21"/>
                    </w:rPr>
                    <w:t>5.88E-03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00" w:type="dxa"/>
                  <w:tcBorders>
                    <w:right w:val="single" w:color="auto" w:sz="4" w:space="0"/>
                  </w:tcBorders>
                  <w:shd w:val="clear" w:color="auto" w:fill="auto"/>
                  <w:vAlign w:val="center"/>
                </w:tcPr>
                <w:p>
                  <w:pPr>
                    <w:snapToGrid w:val="0"/>
                    <w:jc w:val="center"/>
                    <w:rPr>
                      <w:color w:val="4472C4"/>
                    </w:rPr>
                  </w:pPr>
                  <w:r>
                    <w:rPr>
                      <w:color w:val="000000"/>
                      <w:szCs w:val="21"/>
                    </w:rPr>
                    <w:t>C</w:t>
                  </w:r>
                </w:p>
              </w:tc>
              <w:tc>
                <w:tcPr>
                  <w:tcW w:w="1760" w:type="dxa"/>
                  <w:tcBorders>
                    <w:bottom w:val="single" w:color="auto" w:sz="4" w:space="0"/>
                  </w:tcBorders>
                  <w:shd w:val="clear" w:color="auto" w:fill="auto"/>
                  <w:vAlign w:val="center"/>
                </w:tcPr>
                <w:p>
                  <w:pPr>
                    <w:snapToGrid w:val="0"/>
                    <w:jc w:val="center"/>
                    <w:rPr>
                      <w:color w:val="4472C4"/>
                    </w:rPr>
                  </w:pPr>
                  <w:r>
                    <w:rPr>
                      <w:rFonts w:hint="eastAsia"/>
                      <w:color w:val="000000" w:themeColor="text1"/>
                      <w:sz w:val="21"/>
                      <w:szCs w:val="21"/>
                      <w14:textFill>
                        <w14:solidFill>
                          <w14:schemeClr w14:val="tx1"/>
                        </w14:solidFill>
                      </w14:textFill>
                    </w:rPr>
                    <w:t>操作间观察窗外表面30cm处</w:t>
                  </w:r>
                </w:p>
              </w:tc>
              <w:tc>
                <w:tcPr>
                  <w:tcW w:w="1134" w:type="dxa"/>
                  <w:shd w:val="clear" w:color="auto" w:fill="auto"/>
                  <w:vAlign w:val="center"/>
                </w:tcPr>
                <w:p>
                  <w:pPr>
                    <w:jc w:val="center"/>
                    <w:rPr>
                      <w:color w:val="4472C4"/>
                      <w:sz w:val="21"/>
                      <w:szCs w:val="21"/>
                    </w:rPr>
                  </w:pPr>
                  <w:r>
                    <w:rPr>
                      <w:sz w:val="21"/>
                      <w:szCs w:val="21"/>
                    </w:rPr>
                    <w:t>4.58E+00</w:t>
                  </w:r>
                </w:p>
              </w:tc>
              <w:tc>
                <w:tcPr>
                  <w:tcW w:w="1134" w:type="dxa"/>
                  <w:shd w:val="clear" w:color="auto" w:fill="auto"/>
                  <w:vAlign w:val="center"/>
                </w:tcPr>
                <w:p>
                  <w:pPr>
                    <w:jc w:val="center"/>
                    <w:rPr>
                      <w:color w:val="4472C4"/>
                      <w:sz w:val="21"/>
                      <w:szCs w:val="21"/>
                    </w:rPr>
                  </w:pPr>
                  <w:r>
                    <w:rPr>
                      <w:sz w:val="21"/>
                      <w:szCs w:val="21"/>
                    </w:rPr>
                    <w:t>2.75E+01</w:t>
                  </w:r>
                </w:p>
              </w:tc>
              <w:tc>
                <w:tcPr>
                  <w:tcW w:w="1134" w:type="dxa"/>
                  <w:shd w:val="clear" w:color="auto" w:fill="auto"/>
                  <w:vAlign w:val="center"/>
                </w:tcPr>
                <w:p>
                  <w:pPr>
                    <w:jc w:val="center"/>
                    <w:rPr>
                      <w:color w:val="000000"/>
                      <w:sz w:val="21"/>
                      <w:szCs w:val="21"/>
                    </w:rPr>
                  </w:pPr>
                  <w:r>
                    <w:rPr>
                      <w:sz w:val="21"/>
                      <w:szCs w:val="21"/>
                    </w:rPr>
                    <w:t>3.21E+01</w:t>
                  </w:r>
                </w:p>
              </w:tc>
              <w:tc>
                <w:tcPr>
                  <w:tcW w:w="1134" w:type="dxa"/>
                  <w:shd w:val="clear" w:color="auto" w:fill="auto"/>
                  <w:vAlign w:val="center"/>
                </w:tcPr>
                <w:p>
                  <w:pPr>
                    <w:snapToGrid w:val="0"/>
                    <w:jc w:val="center"/>
                    <w:rPr>
                      <w:color w:val="000000"/>
                      <w:sz w:val="21"/>
                      <w:szCs w:val="21"/>
                    </w:rPr>
                  </w:pPr>
                  <w:r>
                    <w:rPr>
                      <w:sz w:val="21"/>
                      <w:szCs w:val="21"/>
                    </w:rPr>
                    <w:t>1.47E-01</w:t>
                  </w:r>
                </w:p>
              </w:tc>
              <w:tc>
                <w:tcPr>
                  <w:tcW w:w="1071" w:type="dxa"/>
                  <w:shd w:val="clear" w:color="auto" w:fill="auto"/>
                  <w:vAlign w:val="center"/>
                </w:tcPr>
                <w:p>
                  <w:pPr>
                    <w:snapToGrid w:val="0"/>
                    <w:jc w:val="center"/>
                    <w:rPr>
                      <w:color w:val="000000"/>
                      <w:sz w:val="21"/>
                      <w:szCs w:val="21"/>
                    </w:rPr>
                  </w:pPr>
                  <w:r>
                    <w:rPr>
                      <w:sz w:val="21"/>
                      <w:szCs w:val="21"/>
                    </w:rPr>
                    <w:t>8.80E-01</w:t>
                  </w:r>
                </w:p>
              </w:tc>
              <w:tc>
                <w:tcPr>
                  <w:tcW w:w="1041" w:type="dxa"/>
                  <w:shd w:val="clear" w:color="auto" w:fill="auto"/>
                  <w:vAlign w:val="center"/>
                </w:tcPr>
                <w:p>
                  <w:pPr>
                    <w:jc w:val="center"/>
                    <w:rPr>
                      <w:color w:val="000000"/>
                      <w:sz w:val="21"/>
                      <w:szCs w:val="21"/>
                    </w:rPr>
                  </w:pPr>
                  <w:r>
                    <w:rPr>
                      <w:sz w:val="21"/>
                      <w:szCs w:val="21"/>
                    </w:rPr>
                    <w:t>1.03E+00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00" w:type="dxa"/>
                  <w:tcBorders>
                    <w:right w:val="single" w:color="auto" w:sz="4" w:space="0"/>
                  </w:tcBorders>
                  <w:shd w:val="clear" w:color="auto" w:fill="auto"/>
                  <w:vAlign w:val="center"/>
                </w:tcPr>
                <w:p>
                  <w:pPr>
                    <w:snapToGrid w:val="0"/>
                    <w:jc w:val="center"/>
                    <w:rPr>
                      <w:color w:val="000000"/>
                      <w:szCs w:val="21"/>
                    </w:rPr>
                  </w:pPr>
                  <w:r>
                    <w:rPr>
                      <w:rFonts w:hint="eastAsia"/>
                      <w:color w:val="000000"/>
                      <w:szCs w:val="21"/>
                    </w:rPr>
                    <w:t>D</w:t>
                  </w:r>
                </w:p>
              </w:tc>
              <w:tc>
                <w:tcPr>
                  <w:tcW w:w="1760" w:type="dxa"/>
                  <w:tcBorders>
                    <w:bottom w:val="single" w:color="auto" w:sz="4" w:space="0"/>
                  </w:tcBorders>
                  <w:shd w:val="clear" w:color="auto" w:fill="auto"/>
                  <w:vAlign w:val="center"/>
                </w:tcPr>
                <w:p>
                  <w:pPr>
                    <w:snapToGrid w:val="0"/>
                    <w:jc w:val="center"/>
                    <w:rPr>
                      <w:color w:val="000000"/>
                      <w:szCs w:val="21"/>
                    </w:rPr>
                  </w:pPr>
                  <w:r>
                    <w:rPr>
                      <w:rFonts w:hint="eastAsia"/>
                      <w:color w:val="000000" w:themeColor="text1"/>
                      <w:sz w:val="21"/>
                      <w:szCs w:val="21"/>
                      <w14:textFill>
                        <w14:solidFill>
                          <w14:schemeClr w14:val="tx1"/>
                        </w14:solidFill>
                      </w14:textFill>
                    </w:rPr>
                    <w:t>介入手术室北墙外表面30cm处（C</w:t>
                  </w:r>
                  <w:r>
                    <w:rPr>
                      <w:color w:val="000000" w:themeColor="text1"/>
                      <w:sz w:val="21"/>
                      <w:szCs w:val="21"/>
                      <w14:textFill>
                        <w14:solidFill>
                          <w14:schemeClr w14:val="tx1"/>
                        </w14:solidFill>
                      </w14:textFill>
                    </w:rPr>
                    <w:t>T</w:t>
                  </w:r>
                  <w:r>
                    <w:rPr>
                      <w:rFonts w:hint="eastAsia"/>
                      <w:color w:val="000000" w:themeColor="text1"/>
                      <w:sz w:val="21"/>
                      <w:szCs w:val="21"/>
                      <w14:textFill>
                        <w14:solidFill>
                          <w14:schemeClr w14:val="tx1"/>
                        </w14:solidFill>
                      </w14:textFill>
                    </w:rPr>
                    <w:t>机房）</w:t>
                  </w:r>
                </w:p>
              </w:tc>
              <w:tc>
                <w:tcPr>
                  <w:tcW w:w="1134" w:type="dxa"/>
                  <w:shd w:val="clear" w:color="auto" w:fill="auto"/>
                  <w:vAlign w:val="center"/>
                </w:tcPr>
                <w:p>
                  <w:pPr>
                    <w:jc w:val="center"/>
                    <w:rPr>
                      <w:sz w:val="21"/>
                      <w:szCs w:val="21"/>
                    </w:rPr>
                  </w:pPr>
                  <w:r>
                    <w:rPr>
                      <w:sz w:val="21"/>
                      <w:szCs w:val="21"/>
                    </w:rPr>
                    <w:t>2.46E-02</w:t>
                  </w:r>
                </w:p>
              </w:tc>
              <w:tc>
                <w:tcPr>
                  <w:tcW w:w="1134" w:type="dxa"/>
                  <w:shd w:val="clear" w:color="auto" w:fill="auto"/>
                  <w:vAlign w:val="center"/>
                </w:tcPr>
                <w:p>
                  <w:pPr>
                    <w:jc w:val="center"/>
                    <w:rPr>
                      <w:sz w:val="21"/>
                      <w:szCs w:val="21"/>
                    </w:rPr>
                  </w:pPr>
                  <w:r>
                    <w:rPr>
                      <w:sz w:val="21"/>
                      <w:szCs w:val="21"/>
                    </w:rPr>
                    <w:t>1.48E-01</w:t>
                  </w:r>
                </w:p>
              </w:tc>
              <w:tc>
                <w:tcPr>
                  <w:tcW w:w="1134" w:type="dxa"/>
                  <w:shd w:val="clear" w:color="auto" w:fill="auto"/>
                  <w:vAlign w:val="center"/>
                </w:tcPr>
                <w:p>
                  <w:pPr>
                    <w:jc w:val="center"/>
                    <w:rPr>
                      <w:color w:val="000000"/>
                      <w:sz w:val="21"/>
                      <w:szCs w:val="21"/>
                    </w:rPr>
                  </w:pPr>
                  <w:r>
                    <w:rPr>
                      <w:sz w:val="21"/>
                      <w:szCs w:val="21"/>
                    </w:rPr>
                    <w:t>1.73E-01</w:t>
                  </w:r>
                </w:p>
              </w:tc>
              <w:tc>
                <w:tcPr>
                  <w:tcW w:w="1134" w:type="dxa"/>
                  <w:shd w:val="clear" w:color="auto" w:fill="auto"/>
                  <w:vAlign w:val="center"/>
                </w:tcPr>
                <w:p>
                  <w:pPr>
                    <w:snapToGrid w:val="0"/>
                    <w:jc w:val="center"/>
                    <w:rPr>
                      <w:sz w:val="21"/>
                      <w:szCs w:val="21"/>
                    </w:rPr>
                  </w:pPr>
                  <w:r>
                    <w:rPr>
                      <w:sz w:val="21"/>
                      <w:szCs w:val="21"/>
                    </w:rPr>
                    <w:t>7.89E-04</w:t>
                  </w:r>
                </w:p>
              </w:tc>
              <w:tc>
                <w:tcPr>
                  <w:tcW w:w="1071" w:type="dxa"/>
                  <w:shd w:val="clear" w:color="auto" w:fill="auto"/>
                  <w:vAlign w:val="center"/>
                </w:tcPr>
                <w:p>
                  <w:pPr>
                    <w:snapToGrid w:val="0"/>
                    <w:jc w:val="center"/>
                    <w:rPr>
                      <w:sz w:val="21"/>
                      <w:szCs w:val="21"/>
                    </w:rPr>
                  </w:pPr>
                  <w:r>
                    <w:rPr>
                      <w:sz w:val="21"/>
                      <w:szCs w:val="21"/>
                    </w:rPr>
                    <w:t>4.73E-03</w:t>
                  </w:r>
                </w:p>
              </w:tc>
              <w:tc>
                <w:tcPr>
                  <w:tcW w:w="1041" w:type="dxa"/>
                  <w:shd w:val="clear" w:color="auto" w:fill="auto"/>
                  <w:vAlign w:val="center"/>
                </w:tcPr>
                <w:p>
                  <w:pPr>
                    <w:jc w:val="center"/>
                    <w:rPr>
                      <w:color w:val="000000"/>
                      <w:sz w:val="21"/>
                      <w:szCs w:val="21"/>
                    </w:rPr>
                  </w:pPr>
                  <w:r>
                    <w:rPr>
                      <w:sz w:val="21"/>
                      <w:szCs w:val="21"/>
                    </w:rPr>
                    <w:t>5.52E-03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00" w:type="dxa"/>
                  <w:tcBorders>
                    <w:right w:val="single" w:color="auto" w:sz="4" w:space="0"/>
                  </w:tcBorders>
                  <w:shd w:val="clear" w:color="auto" w:fill="auto"/>
                  <w:vAlign w:val="center"/>
                </w:tcPr>
                <w:p>
                  <w:pPr>
                    <w:snapToGrid w:val="0"/>
                    <w:jc w:val="center"/>
                    <w:rPr>
                      <w:color w:val="000000"/>
                      <w:szCs w:val="21"/>
                    </w:rPr>
                  </w:pPr>
                  <w:r>
                    <w:rPr>
                      <w:rFonts w:hint="eastAsia"/>
                      <w:color w:val="000000"/>
                      <w:szCs w:val="21"/>
                    </w:rPr>
                    <w:t>E</w:t>
                  </w:r>
                </w:p>
              </w:tc>
              <w:tc>
                <w:tcPr>
                  <w:tcW w:w="1760" w:type="dxa"/>
                  <w:tcBorders>
                    <w:bottom w:val="single" w:color="auto" w:sz="4" w:space="0"/>
                  </w:tcBorders>
                  <w:shd w:val="clear" w:color="auto" w:fill="auto"/>
                  <w:vAlign w:val="center"/>
                </w:tcPr>
                <w:p>
                  <w:pPr>
                    <w:snapToGrid w:val="0"/>
                    <w:jc w:val="center"/>
                    <w:rPr>
                      <w:color w:val="000000"/>
                      <w:szCs w:val="21"/>
                    </w:rPr>
                  </w:pPr>
                  <w:r>
                    <w:rPr>
                      <w:rFonts w:hint="eastAsia"/>
                      <w:color w:val="000000" w:themeColor="text1"/>
                      <w:sz w:val="21"/>
                      <w:szCs w:val="21"/>
                      <w14:textFill>
                        <w14:solidFill>
                          <w14:schemeClr w14:val="tx1"/>
                        </w14:solidFill>
                      </w14:textFill>
                    </w:rPr>
                    <w:t>应急通道门外表面30cm处（走廊）</w:t>
                  </w:r>
                </w:p>
              </w:tc>
              <w:tc>
                <w:tcPr>
                  <w:tcW w:w="1134" w:type="dxa"/>
                  <w:shd w:val="clear" w:color="auto" w:fill="auto"/>
                  <w:vAlign w:val="center"/>
                </w:tcPr>
                <w:p>
                  <w:pPr>
                    <w:jc w:val="center"/>
                    <w:rPr>
                      <w:sz w:val="21"/>
                      <w:szCs w:val="21"/>
                    </w:rPr>
                  </w:pPr>
                  <w:r>
                    <w:rPr>
                      <w:sz w:val="21"/>
                      <w:szCs w:val="21"/>
                    </w:rPr>
                    <w:t>2.20E+00</w:t>
                  </w:r>
                </w:p>
              </w:tc>
              <w:tc>
                <w:tcPr>
                  <w:tcW w:w="1134" w:type="dxa"/>
                  <w:shd w:val="clear" w:color="auto" w:fill="auto"/>
                  <w:vAlign w:val="center"/>
                </w:tcPr>
                <w:p>
                  <w:pPr>
                    <w:jc w:val="center"/>
                    <w:rPr>
                      <w:sz w:val="21"/>
                      <w:szCs w:val="21"/>
                    </w:rPr>
                  </w:pPr>
                  <w:r>
                    <w:rPr>
                      <w:sz w:val="21"/>
                      <w:szCs w:val="21"/>
                    </w:rPr>
                    <w:t>1.32E+01</w:t>
                  </w:r>
                </w:p>
              </w:tc>
              <w:tc>
                <w:tcPr>
                  <w:tcW w:w="1134" w:type="dxa"/>
                  <w:shd w:val="clear" w:color="auto" w:fill="auto"/>
                  <w:vAlign w:val="center"/>
                </w:tcPr>
                <w:p>
                  <w:pPr>
                    <w:jc w:val="center"/>
                    <w:rPr>
                      <w:color w:val="000000"/>
                      <w:sz w:val="21"/>
                      <w:szCs w:val="21"/>
                    </w:rPr>
                  </w:pPr>
                  <w:r>
                    <w:rPr>
                      <w:sz w:val="21"/>
                      <w:szCs w:val="21"/>
                    </w:rPr>
                    <w:t>1.54E+01</w:t>
                  </w:r>
                </w:p>
              </w:tc>
              <w:tc>
                <w:tcPr>
                  <w:tcW w:w="1134" w:type="dxa"/>
                  <w:shd w:val="clear" w:color="auto" w:fill="auto"/>
                  <w:vAlign w:val="center"/>
                </w:tcPr>
                <w:p>
                  <w:pPr>
                    <w:snapToGrid w:val="0"/>
                    <w:jc w:val="center"/>
                    <w:rPr>
                      <w:sz w:val="21"/>
                      <w:szCs w:val="21"/>
                    </w:rPr>
                  </w:pPr>
                  <w:r>
                    <w:rPr>
                      <w:sz w:val="21"/>
                      <w:szCs w:val="21"/>
                    </w:rPr>
                    <w:t>7.05E-02</w:t>
                  </w:r>
                </w:p>
              </w:tc>
              <w:tc>
                <w:tcPr>
                  <w:tcW w:w="1071" w:type="dxa"/>
                  <w:shd w:val="clear" w:color="auto" w:fill="auto"/>
                  <w:vAlign w:val="center"/>
                </w:tcPr>
                <w:p>
                  <w:pPr>
                    <w:snapToGrid w:val="0"/>
                    <w:jc w:val="center"/>
                    <w:rPr>
                      <w:sz w:val="21"/>
                      <w:szCs w:val="21"/>
                    </w:rPr>
                  </w:pPr>
                  <w:r>
                    <w:rPr>
                      <w:sz w:val="21"/>
                      <w:szCs w:val="21"/>
                    </w:rPr>
                    <w:t>4.23E-01</w:t>
                  </w:r>
                </w:p>
              </w:tc>
              <w:tc>
                <w:tcPr>
                  <w:tcW w:w="1041" w:type="dxa"/>
                  <w:shd w:val="clear" w:color="auto" w:fill="auto"/>
                  <w:vAlign w:val="center"/>
                </w:tcPr>
                <w:p>
                  <w:pPr>
                    <w:jc w:val="center"/>
                    <w:rPr>
                      <w:color w:val="000000"/>
                      <w:sz w:val="21"/>
                      <w:szCs w:val="21"/>
                    </w:rPr>
                  </w:pPr>
                  <w:r>
                    <w:rPr>
                      <w:sz w:val="21"/>
                      <w:szCs w:val="21"/>
                    </w:rPr>
                    <w:t>4.93E-01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00" w:type="dxa"/>
                  <w:tcBorders>
                    <w:right w:val="single" w:color="auto" w:sz="4" w:space="0"/>
                  </w:tcBorders>
                  <w:shd w:val="clear" w:color="auto" w:fill="auto"/>
                  <w:vAlign w:val="center"/>
                </w:tcPr>
                <w:p>
                  <w:pPr>
                    <w:snapToGrid w:val="0"/>
                    <w:jc w:val="center"/>
                    <w:rPr>
                      <w:color w:val="000000"/>
                      <w:szCs w:val="21"/>
                    </w:rPr>
                  </w:pPr>
                  <w:r>
                    <w:rPr>
                      <w:rFonts w:hint="eastAsia"/>
                      <w:color w:val="000000"/>
                      <w:szCs w:val="21"/>
                    </w:rPr>
                    <w:t>F</w:t>
                  </w:r>
                </w:p>
              </w:tc>
              <w:tc>
                <w:tcPr>
                  <w:tcW w:w="1760" w:type="dxa"/>
                  <w:shd w:val="clear" w:color="auto" w:fill="auto"/>
                  <w:vAlign w:val="center"/>
                </w:tcPr>
                <w:p>
                  <w:pPr>
                    <w:snapToGrid w:val="0"/>
                    <w:jc w:val="center"/>
                    <w:rPr>
                      <w:color w:val="000000"/>
                      <w:szCs w:val="21"/>
                    </w:rPr>
                  </w:pPr>
                  <w:r>
                    <w:rPr>
                      <w:rFonts w:hint="eastAsia"/>
                      <w:color w:val="000000" w:themeColor="text1"/>
                      <w:sz w:val="21"/>
                      <w:szCs w:val="21"/>
                      <w14:textFill>
                        <w14:solidFill>
                          <w14:schemeClr w14:val="tx1"/>
                        </w14:solidFill>
                      </w14:textFill>
                    </w:rPr>
                    <w:t>介入手术室东墙外表面30cm处（设备间）</w:t>
                  </w:r>
                </w:p>
              </w:tc>
              <w:tc>
                <w:tcPr>
                  <w:tcW w:w="1134" w:type="dxa"/>
                  <w:shd w:val="clear" w:color="auto" w:fill="auto"/>
                  <w:vAlign w:val="center"/>
                </w:tcPr>
                <w:p>
                  <w:pPr>
                    <w:jc w:val="center"/>
                    <w:rPr>
                      <w:sz w:val="21"/>
                      <w:szCs w:val="21"/>
                    </w:rPr>
                  </w:pPr>
                  <w:r>
                    <w:rPr>
                      <w:sz w:val="21"/>
                      <w:szCs w:val="21"/>
                    </w:rPr>
                    <w:t>1.71E-02</w:t>
                  </w:r>
                </w:p>
              </w:tc>
              <w:tc>
                <w:tcPr>
                  <w:tcW w:w="1134" w:type="dxa"/>
                  <w:shd w:val="clear" w:color="auto" w:fill="auto"/>
                  <w:vAlign w:val="center"/>
                </w:tcPr>
                <w:p>
                  <w:pPr>
                    <w:jc w:val="center"/>
                    <w:rPr>
                      <w:sz w:val="21"/>
                      <w:szCs w:val="21"/>
                    </w:rPr>
                  </w:pPr>
                  <w:r>
                    <w:rPr>
                      <w:sz w:val="21"/>
                      <w:szCs w:val="21"/>
                    </w:rPr>
                    <w:t>1.03E-01</w:t>
                  </w:r>
                </w:p>
              </w:tc>
              <w:tc>
                <w:tcPr>
                  <w:tcW w:w="1134" w:type="dxa"/>
                  <w:shd w:val="clear" w:color="auto" w:fill="auto"/>
                  <w:vAlign w:val="center"/>
                </w:tcPr>
                <w:p>
                  <w:pPr>
                    <w:jc w:val="center"/>
                    <w:rPr>
                      <w:color w:val="000000"/>
                      <w:sz w:val="21"/>
                      <w:szCs w:val="21"/>
                    </w:rPr>
                  </w:pPr>
                  <w:r>
                    <w:rPr>
                      <w:sz w:val="21"/>
                      <w:szCs w:val="21"/>
                    </w:rPr>
                    <w:t>1.20E-01</w:t>
                  </w:r>
                </w:p>
              </w:tc>
              <w:tc>
                <w:tcPr>
                  <w:tcW w:w="1134" w:type="dxa"/>
                  <w:shd w:val="clear" w:color="auto" w:fill="auto"/>
                  <w:vAlign w:val="center"/>
                </w:tcPr>
                <w:p>
                  <w:pPr>
                    <w:snapToGrid w:val="0"/>
                    <w:jc w:val="center"/>
                    <w:rPr>
                      <w:sz w:val="21"/>
                      <w:szCs w:val="21"/>
                    </w:rPr>
                  </w:pPr>
                  <w:r>
                    <w:rPr>
                      <w:sz w:val="21"/>
                      <w:szCs w:val="21"/>
                    </w:rPr>
                    <w:t>5.47E-04</w:t>
                  </w:r>
                </w:p>
              </w:tc>
              <w:tc>
                <w:tcPr>
                  <w:tcW w:w="1071" w:type="dxa"/>
                  <w:shd w:val="clear" w:color="auto" w:fill="auto"/>
                  <w:vAlign w:val="center"/>
                </w:tcPr>
                <w:p>
                  <w:pPr>
                    <w:snapToGrid w:val="0"/>
                    <w:jc w:val="center"/>
                    <w:rPr>
                      <w:sz w:val="21"/>
                      <w:szCs w:val="21"/>
                    </w:rPr>
                  </w:pPr>
                  <w:r>
                    <w:rPr>
                      <w:sz w:val="21"/>
                      <w:szCs w:val="21"/>
                    </w:rPr>
                    <w:t>3.28E-03</w:t>
                  </w:r>
                </w:p>
              </w:tc>
              <w:tc>
                <w:tcPr>
                  <w:tcW w:w="1041" w:type="dxa"/>
                  <w:shd w:val="clear" w:color="auto" w:fill="auto"/>
                  <w:vAlign w:val="center"/>
                </w:tcPr>
                <w:p>
                  <w:pPr>
                    <w:jc w:val="center"/>
                    <w:rPr>
                      <w:color w:val="000000"/>
                      <w:sz w:val="21"/>
                      <w:szCs w:val="21"/>
                    </w:rPr>
                  </w:pPr>
                  <w:r>
                    <w:rPr>
                      <w:sz w:val="21"/>
                      <w:szCs w:val="21"/>
                    </w:rPr>
                    <w:t>3.83E-03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00" w:type="dxa"/>
                  <w:tcBorders>
                    <w:right w:val="single" w:color="auto" w:sz="4" w:space="0"/>
                  </w:tcBorders>
                  <w:shd w:val="clear" w:color="auto" w:fill="auto"/>
                  <w:vAlign w:val="center"/>
                </w:tcPr>
                <w:p>
                  <w:pPr>
                    <w:snapToGrid w:val="0"/>
                    <w:jc w:val="center"/>
                    <w:rPr>
                      <w:color w:val="000000"/>
                      <w:szCs w:val="21"/>
                    </w:rPr>
                  </w:pPr>
                  <w:r>
                    <w:rPr>
                      <w:rFonts w:hint="eastAsia"/>
                      <w:color w:val="000000"/>
                      <w:szCs w:val="21"/>
                    </w:rPr>
                    <w:t>G</w:t>
                  </w:r>
                </w:p>
              </w:tc>
              <w:tc>
                <w:tcPr>
                  <w:tcW w:w="1760" w:type="dxa"/>
                  <w:tcBorders>
                    <w:bottom w:val="single" w:color="auto" w:sz="4" w:space="0"/>
                  </w:tcBorders>
                  <w:shd w:val="clear" w:color="auto" w:fill="auto"/>
                  <w:vAlign w:val="center"/>
                </w:tcPr>
                <w:p>
                  <w:pPr>
                    <w:snapToGrid w:val="0"/>
                    <w:jc w:val="center"/>
                    <w:rPr>
                      <w:color w:val="000000"/>
                      <w:szCs w:val="21"/>
                    </w:rPr>
                  </w:pPr>
                  <w:r>
                    <w:rPr>
                      <w:rFonts w:hint="eastAsia"/>
                      <w:color w:val="000000" w:themeColor="text1"/>
                      <w:sz w:val="21"/>
                      <w:szCs w:val="21"/>
                      <w14:textFill>
                        <w14:solidFill>
                          <w14:schemeClr w14:val="tx1"/>
                        </w14:solidFill>
                      </w14:textFill>
                    </w:rPr>
                    <w:t>介入手术室南墙外表面30cm处（走廊）</w:t>
                  </w:r>
                </w:p>
              </w:tc>
              <w:tc>
                <w:tcPr>
                  <w:tcW w:w="1134" w:type="dxa"/>
                  <w:shd w:val="clear" w:color="auto" w:fill="auto"/>
                  <w:vAlign w:val="center"/>
                </w:tcPr>
                <w:p>
                  <w:pPr>
                    <w:jc w:val="center"/>
                    <w:rPr>
                      <w:sz w:val="21"/>
                      <w:szCs w:val="21"/>
                    </w:rPr>
                  </w:pPr>
                  <w:r>
                    <w:rPr>
                      <w:sz w:val="21"/>
                      <w:szCs w:val="21"/>
                    </w:rPr>
                    <w:t>2.14E-01</w:t>
                  </w:r>
                </w:p>
              </w:tc>
              <w:tc>
                <w:tcPr>
                  <w:tcW w:w="1134" w:type="dxa"/>
                  <w:shd w:val="clear" w:color="auto" w:fill="auto"/>
                  <w:vAlign w:val="center"/>
                </w:tcPr>
                <w:p>
                  <w:pPr>
                    <w:jc w:val="center"/>
                    <w:rPr>
                      <w:sz w:val="21"/>
                      <w:szCs w:val="21"/>
                    </w:rPr>
                  </w:pPr>
                  <w:r>
                    <w:rPr>
                      <w:sz w:val="21"/>
                      <w:szCs w:val="21"/>
                    </w:rPr>
                    <w:t>1.28E+00</w:t>
                  </w:r>
                </w:p>
              </w:tc>
              <w:tc>
                <w:tcPr>
                  <w:tcW w:w="1134" w:type="dxa"/>
                  <w:shd w:val="clear" w:color="auto" w:fill="auto"/>
                  <w:vAlign w:val="center"/>
                </w:tcPr>
                <w:p>
                  <w:pPr>
                    <w:jc w:val="center"/>
                    <w:rPr>
                      <w:color w:val="000000"/>
                      <w:sz w:val="21"/>
                      <w:szCs w:val="21"/>
                    </w:rPr>
                  </w:pPr>
                  <w:r>
                    <w:rPr>
                      <w:sz w:val="21"/>
                      <w:szCs w:val="21"/>
                    </w:rPr>
                    <w:t>1.50E+00</w:t>
                  </w:r>
                </w:p>
              </w:tc>
              <w:tc>
                <w:tcPr>
                  <w:tcW w:w="1134" w:type="dxa"/>
                  <w:shd w:val="clear" w:color="auto" w:fill="auto"/>
                  <w:vAlign w:val="center"/>
                </w:tcPr>
                <w:p>
                  <w:pPr>
                    <w:snapToGrid w:val="0"/>
                    <w:jc w:val="center"/>
                    <w:rPr>
                      <w:sz w:val="21"/>
                      <w:szCs w:val="21"/>
                    </w:rPr>
                  </w:pPr>
                  <w:r>
                    <w:rPr>
                      <w:sz w:val="21"/>
                      <w:szCs w:val="21"/>
                    </w:rPr>
                    <w:t>6.85E-03</w:t>
                  </w:r>
                </w:p>
              </w:tc>
              <w:tc>
                <w:tcPr>
                  <w:tcW w:w="1071" w:type="dxa"/>
                  <w:shd w:val="clear" w:color="auto" w:fill="auto"/>
                  <w:vAlign w:val="center"/>
                </w:tcPr>
                <w:p>
                  <w:pPr>
                    <w:snapToGrid w:val="0"/>
                    <w:jc w:val="center"/>
                    <w:rPr>
                      <w:sz w:val="21"/>
                      <w:szCs w:val="21"/>
                    </w:rPr>
                  </w:pPr>
                  <w:r>
                    <w:rPr>
                      <w:sz w:val="21"/>
                      <w:szCs w:val="21"/>
                    </w:rPr>
                    <w:t>4.11E-02</w:t>
                  </w:r>
                </w:p>
              </w:tc>
              <w:tc>
                <w:tcPr>
                  <w:tcW w:w="1041" w:type="dxa"/>
                  <w:shd w:val="clear" w:color="auto" w:fill="auto"/>
                  <w:vAlign w:val="center"/>
                </w:tcPr>
                <w:p>
                  <w:pPr>
                    <w:jc w:val="center"/>
                    <w:rPr>
                      <w:color w:val="000000"/>
                      <w:sz w:val="21"/>
                      <w:szCs w:val="21"/>
                    </w:rPr>
                  </w:pPr>
                  <w:r>
                    <w:rPr>
                      <w:sz w:val="21"/>
                      <w:szCs w:val="21"/>
                    </w:rPr>
                    <w:t>4.80E-02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00" w:type="dxa"/>
                  <w:tcBorders>
                    <w:right w:val="single" w:color="auto" w:sz="4" w:space="0"/>
                  </w:tcBorders>
                  <w:shd w:val="clear" w:color="auto" w:fill="auto"/>
                  <w:vAlign w:val="center"/>
                </w:tcPr>
                <w:p>
                  <w:pPr>
                    <w:snapToGrid w:val="0"/>
                    <w:jc w:val="center"/>
                    <w:rPr>
                      <w:color w:val="000000"/>
                      <w:szCs w:val="21"/>
                    </w:rPr>
                  </w:pPr>
                  <w:r>
                    <w:rPr>
                      <w:rFonts w:hint="eastAsia"/>
                      <w:color w:val="000000"/>
                      <w:szCs w:val="21"/>
                    </w:rPr>
                    <w:t>H</w:t>
                  </w:r>
                </w:p>
              </w:tc>
              <w:tc>
                <w:tcPr>
                  <w:tcW w:w="1760" w:type="dxa"/>
                  <w:shd w:val="clear" w:color="auto" w:fill="auto"/>
                  <w:vAlign w:val="center"/>
                </w:tcPr>
                <w:p>
                  <w:pPr>
                    <w:snapToGrid w:val="0"/>
                    <w:jc w:val="center"/>
                    <w:rPr>
                      <w:color w:val="000000"/>
                      <w:szCs w:val="21"/>
                    </w:rPr>
                  </w:pPr>
                  <w:r>
                    <w:rPr>
                      <w:rFonts w:hint="eastAsia"/>
                      <w:color w:val="000000" w:themeColor="text1"/>
                      <w:sz w:val="21"/>
                      <w:szCs w:val="21"/>
                      <w14:textFill>
                        <w14:solidFill>
                          <w14:schemeClr w14:val="tx1"/>
                        </w14:solidFill>
                      </w14:textFill>
                    </w:rPr>
                    <w:t>污物出入防护门外表面30cm处（污物间）</w:t>
                  </w:r>
                </w:p>
              </w:tc>
              <w:tc>
                <w:tcPr>
                  <w:tcW w:w="1134" w:type="dxa"/>
                  <w:shd w:val="clear" w:color="auto" w:fill="auto"/>
                  <w:vAlign w:val="center"/>
                </w:tcPr>
                <w:p>
                  <w:pPr>
                    <w:jc w:val="center"/>
                    <w:rPr>
                      <w:sz w:val="21"/>
                      <w:szCs w:val="21"/>
                    </w:rPr>
                  </w:pPr>
                  <w:r>
                    <w:rPr>
                      <w:sz w:val="21"/>
                      <w:szCs w:val="21"/>
                    </w:rPr>
                    <w:t>2.16E+00</w:t>
                  </w:r>
                </w:p>
              </w:tc>
              <w:tc>
                <w:tcPr>
                  <w:tcW w:w="1134" w:type="dxa"/>
                  <w:shd w:val="clear" w:color="auto" w:fill="auto"/>
                  <w:vAlign w:val="center"/>
                </w:tcPr>
                <w:p>
                  <w:pPr>
                    <w:jc w:val="center"/>
                    <w:rPr>
                      <w:sz w:val="21"/>
                      <w:szCs w:val="21"/>
                    </w:rPr>
                  </w:pPr>
                  <w:r>
                    <w:rPr>
                      <w:sz w:val="21"/>
                      <w:szCs w:val="21"/>
                    </w:rPr>
                    <w:t>1.30E+01</w:t>
                  </w:r>
                </w:p>
              </w:tc>
              <w:tc>
                <w:tcPr>
                  <w:tcW w:w="1134" w:type="dxa"/>
                  <w:shd w:val="clear" w:color="auto" w:fill="auto"/>
                  <w:vAlign w:val="center"/>
                </w:tcPr>
                <w:p>
                  <w:pPr>
                    <w:jc w:val="center"/>
                    <w:rPr>
                      <w:color w:val="000000"/>
                      <w:sz w:val="21"/>
                      <w:szCs w:val="21"/>
                    </w:rPr>
                  </w:pPr>
                  <w:r>
                    <w:rPr>
                      <w:sz w:val="21"/>
                      <w:szCs w:val="21"/>
                    </w:rPr>
                    <w:t>1.51E+01</w:t>
                  </w:r>
                </w:p>
              </w:tc>
              <w:tc>
                <w:tcPr>
                  <w:tcW w:w="1134" w:type="dxa"/>
                  <w:shd w:val="clear" w:color="auto" w:fill="auto"/>
                  <w:vAlign w:val="center"/>
                </w:tcPr>
                <w:p>
                  <w:pPr>
                    <w:snapToGrid w:val="0"/>
                    <w:jc w:val="center"/>
                    <w:rPr>
                      <w:sz w:val="21"/>
                      <w:szCs w:val="21"/>
                    </w:rPr>
                  </w:pPr>
                  <w:r>
                    <w:rPr>
                      <w:sz w:val="21"/>
                      <w:szCs w:val="21"/>
                    </w:rPr>
                    <w:t>6.92E-02</w:t>
                  </w:r>
                </w:p>
              </w:tc>
              <w:tc>
                <w:tcPr>
                  <w:tcW w:w="1071" w:type="dxa"/>
                  <w:shd w:val="clear" w:color="auto" w:fill="auto"/>
                  <w:vAlign w:val="center"/>
                </w:tcPr>
                <w:p>
                  <w:pPr>
                    <w:snapToGrid w:val="0"/>
                    <w:jc w:val="center"/>
                    <w:rPr>
                      <w:sz w:val="21"/>
                      <w:szCs w:val="21"/>
                    </w:rPr>
                  </w:pPr>
                  <w:r>
                    <w:rPr>
                      <w:sz w:val="21"/>
                      <w:szCs w:val="21"/>
                    </w:rPr>
                    <w:t>4.15E-01</w:t>
                  </w:r>
                </w:p>
              </w:tc>
              <w:tc>
                <w:tcPr>
                  <w:tcW w:w="1041" w:type="dxa"/>
                  <w:shd w:val="clear" w:color="auto" w:fill="auto"/>
                  <w:vAlign w:val="center"/>
                </w:tcPr>
                <w:p>
                  <w:pPr>
                    <w:jc w:val="center"/>
                    <w:rPr>
                      <w:color w:val="000000"/>
                      <w:sz w:val="21"/>
                      <w:szCs w:val="21"/>
                    </w:rPr>
                  </w:pPr>
                  <w:r>
                    <w:rPr>
                      <w:sz w:val="21"/>
                      <w:szCs w:val="21"/>
                    </w:rPr>
                    <w:t>4.84E-01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00" w:type="dxa"/>
                  <w:tcBorders>
                    <w:right w:val="single" w:color="auto" w:sz="4" w:space="0"/>
                  </w:tcBorders>
                  <w:shd w:val="clear" w:color="auto" w:fill="auto"/>
                  <w:vAlign w:val="center"/>
                </w:tcPr>
                <w:p>
                  <w:pPr>
                    <w:snapToGrid w:val="0"/>
                    <w:jc w:val="center"/>
                    <w:rPr>
                      <w:color w:val="000000"/>
                      <w:szCs w:val="21"/>
                    </w:rPr>
                  </w:pPr>
                  <w:r>
                    <w:rPr>
                      <w:rFonts w:hint="eastAsia"/>
                      <w:color w:val="000000"/>
                      <w:szCs w:val="21"/>
                    </w:rPr>
                    <w:t>I</w:t>
                  </w:r>
                </w:p>
              </w:tc>
              <w:tc>
                <w:tcPr>
                  <w:tcW w:w="1760" w:type="dxa"/>
                  <w:shd w:val="clear" w:color="auto" w:fill="auto"/>
                  <w:vAlign w:val="center"/>
                </w:tcPr>
                <w:p>
                  <w:pPr>
                    <w:snapToGrid w:val="0"/>
                    <w:jc w:val="center"/>
                    <w:rPr>
                      <w:color w:val="000000"/>
                      <w:szCs w:val="21"/>
                    </w:rPr>
                  </w:pPr>
                  <w:r>
                    <w:rPr>
                      <w:rFonts w:hint="eastAsia"/>
                      <w:color w:val="000000" w:themeColor="text1"/>
                      <w:sz w:val="21"/>
                      <w:szCs w:val="21"/>
                      <w14:textFill>
                        <w14:solidFill>
                          <w14:schemeClr w14:val="tx1"/>
                        </w14:solidFill>
                      </w14:textFill>
                    </w:rPr>
                    <w:t>介入手术室西墙外表面30cm处（缓冲间）</w:t>
                  </w:r>
                </w:p>
              </w:tc>
              <w:tc>
                <w:tcPr>
                  <w:tcW w:w="1134" w:type="dxa"/>
                  <w:shd w:val="clear" w:color="auto" w:fill="auto"/>
                  <w:vAlign w:val="center"/>
                </w:tcPr>
                <w:p>
                  <w:pPr>
                    <w:jc w:val="center"/>
                    <w:rPr>
                      <w:sz w:val="21"/>
                      <w:szCs w:val="21"/>
                    </w:rPr>
                  </w:pPr>
                  <w:r>
                    <w:rPr>
                      <w:sz w:val="21"/>
                      <w:szCs w:val="21"/>
                    </w:rPr>
                    <w:t>3.61E-02</w:t>
                  </w:r>
                </w:p>
              </w:tc>
              <w:tc>
                <w:tcPr>
                  <w:tcW w:w="1134" w:type="dxa"/>
                  <w:shd w:val="clear" w:color="auto" w:fill="auto"/>
                  <w:vAlign w:val="center"/>
                </w:tcPr>
                <w:p>
                  <w:pPr>
                    <w:jc w:val="center"/>
                    <w:rPr>
                      <w:sz w:val="21"/>
                      <w:szCs w:val="21"/>
                    </w:rPr>
                  </w:pPr>
                  <w:r>
                    <w:rPr>
                      <w:sz w:val="21"/>
                      <w:szCs w:val="21"/>
                    </w:rPr>
                    <w:t>2.17E-01</w:t>
                  </w:r>
                </w:p>
              </w:tc>
              <w:tc>
                <w:tcPr>
                  <w:tcW w:w="1134" w:type="dxa"/>
                  <w:shd w:val="clear" w:color="auto" w:fill="auto"/>
                  <w:vAlign w:val="center"/>
                </w:tcPr>
                <w:p>
                  <w:pPr>
                    <w:jc w:val="center"/>
                    <w:rPr>
                      <w:color w:val="000000"/>
                      <w:sz w:val="21"/>
                      <w:szCs w:val="21"/>
                    </w:rPr>
                  </w:pPr>
                  <w:r>
                    <w:rPr>
                      <w:sz w:val="21"/>
                      <w:szCs w:val="21"/>
                    </w:rPr>
                    <w:t>2.53E-01</w:t>
                  </w:r>
                </w:p>
              </w:tc>
              <w:tc>
                <w:tcPr>
                  <w:tcW w:w="1134" w:type="dxa"/>
                  <w:shd w:val="clear" w:color="auto" w:fill="auto"/>
                  <w:vAlign w:val="center"/>
                </w:tcPr>
                <w:p>
                  <w:pPr>
                    <w:snapToGrid w:val="0"/>
                    <w:jc w:val="center"/>
                    <w:rPr>
                      <w:sz w:val="21"/>
                      <w:szCs w:val="21"/>
                    </w:rPr>
                  </w:pPr>
                  <w:r>
                    <w:rPr>
                      <w:sz w:val="21"/>
                      <w:szCs w:val="21"/>
                    </w:rPr>
                    <w:t>1.16E-03</w:t>
                  </w:r>
                </w:p>
              </w:tc>
              <w:tc>
                <w:tcPr>
                  <w:tcW w:w="1071" w:type="dxa"/>
                  <w:shd w:val="clear" w:color="auto" w:fill="auto"/>
                  <w:vAlign w:val="center"/>
                </w:tcPr>
                <w:p>
                  <w:pPr>
                    <w:snapToGrid w:val="0"/>
                    <w:jc w:val="center"/>
                    <w:rPr>
                      <w:sz w:val="21"/>
                      <w:szCs w:val="21"/>
                    </w:rPr>
                  </w:pPr>
                  <w:r>
                    <w:rPr>
                      <w:sz w:val="21"/>
                      <w:szCs w:val="21"/>
                    </w:rPr>
                    <w:t>6.94E-03</w:t>
                  </w:r>
                </w:p>
              </w:tc>
              <w:tc>
                <w:tcPr>
                  <w:tcW w:w="1041" w:type="dxa"/>
                  <w:shd w:val="clear" w:color="auto" w:fill="auto"/>
                  <w:vAlign w:val="center"/>
                </w:tcPr>
                <w:p>
                  <w:pPr>
                    <w:jc w:val="center"/>
                    <w:rPr>
                      <w:color w:val="000000"/>
                      <w:sz w:val="21"/>
                      <w:szCs w:val="21"/>
                    </w:rPr>
                  </w:pPr>
                  <w:r>
                    <w:rPr>
                      <w:sz w:val="21"/>
                      <w:szCs w:val="21"/>
                    </w:rPr>
                    <w:t>8.09E-03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00" w:type="dxa"/>
                  <w:tcBorders>
                    <w:right w:val="single" w:color="auto" w:sz="4" w:space="0"/>
                  </w:tcBorders>
                  <w:shd w:val="clear" w:color="auto" w:fill="auto"/>
                  <w:vAlign w:val="center"/>
                </w:tcPr>
                <w:p>
                  <w:pPr>
                    <w:snapToGrid w:val="0"/>
                    <w:jc w:val="center"/>
                    <w:rPr>
                      <w:color w:val="000000"/>
                      <w:szCs w:val="21"/>
                    </w:rPr>
                  </w:pPr>
                  <w:r>
                    <w:rPr>
                      <w:rFonts w:hint="eastAsia"/>
                      <w:color w:val="000000"/>
                      <w:szCs w:val="21"/>
                    </w:rPr>
                    <w:t>J</w:t>
                  </w:r>
                </w:p>
              </w:tc>
              <w:tc>
                <w:tcPr>
                  <w:tcW w:w="1760" w:type="dxa"/>
                  <w:shd w:val="clear" w:color="auto" w:fill="auto"/>
                  <w:vAlign w:val="center"/>
                </w:tcPr>
                <w:p>
                  <w:pPr>
                    <w:snapToGrid w:val="0"/>
                    <w:jc w:val="center"/>
                    <w:rPr>
                      <w:color w:val="000000"/>
                      <w:szCs w:val="21"/>
                    </w:rPr>
                  </w:pPr>
                  <w:r>
                    <w:rPr>
                      <w:rFonts w:hint="eastAsia"/>
                      <w:color w:val="000000" w:themeColor="text1"/>
                      <w:sz w:val="21"/>
                      <w:szCs w:val="21"/>
                      <w14:textFill>
                        <w14:solidFill>
                          <w14:schemeClr w14:val="tx1"/>
                        </w14:solidFill>
                      </w14:textFill>
                    </w:rPr>
                    <w:t>患者出入防护门外表面30cm处（缓冲间）</w:t>
                  </w:r>
                </w:p>
              </w:tc>
              <w:tc>
                <w:tcPr>
                  <w:tcW w:w="1134" w:type="dxa"/>
                  <w:shd w:val="clear" w:color="auto" w:fill="auto"/>
                  <w:vAlign w:val="center"/>
                </w:tcPr>
                <w:p>
                  <w:pPr>
                    <w:jc w:val="center"/>
                    <w:rPr>
                      <w:sz w:val="21"/>
                      <w:szCs w:val="21"/>
                    </w:rPr>
                  </w:pPr>
                  <w:r>
                    <w:rPr>
                      <w:sz w:val="21"/>
                      <w:szCs w:val="21"/>
                    </w:rPr>
                    <w:t>2.11E+00</w:t>
                  </w:r>
                </w:p>
              </w:tc>
              <w:tc>
                <w:tcPr>
                  <w:tcW w:w="1134" w:type="dxa"/>
                  <w:shd w:val="clear" w:color="auto" w:fill="auto"/>
                  <w:vAlign w:val="center"/>
                </w:tcPr>
                <w:p>
                  <w:pPr>
                    <w:jc w:val="center"/>
                    <w:rPr>
                      <w:sz w:val="21"/>
                      <w:szCs w:val="21"/>
                    </w:rPr>
                  </w:pPr>
                  <w:r>
                    <w:rPr>
                      <w:sz w:val="21"/>
                      <w:szCs w:val="21"/>
                    </w:rPr>
                    <w:t>1.27E+01</w:t>
                  </w:r>
                </w:p>
              </w:tc>
              <w:tc>
                <w:tcPr>
                  <w:tcW w:w="1134" w:type="dxa"/>
                  <w:shd w:val="clear" w:color="auto" w:fill="auto"/>
                  <w:vAlign w:val="center"/>
                </w:tcPr>
                <w:p>
                  <w:pPr>
                    <w:jc w:val="center"/>
                    <w:rPr>
                      <w:color w:val="000000"/>
                      <w:sz w:val="21"/>
                      <w:szCs w:val="21"/>
                    </w:rPr>
                  </w:pPr>
                  <w:r>
                    <w:rPr>
                      <w:sz w:val="21"/>
                      <w:szCs w:val="21"/>
                    </w:rPr>
                    <w:t>1.48E+01</w:t>
                  </w:r>
                </w:p>
              </w:tc>
              <w:tc>
                <w:tcPr>
                  <w:tcW w:w="1134" w:type="dxa"/>
                  <w:shd w:val="clear" w:color="auto" w:fill="auto"/>
                  <w:vAlign w:val="center"/>
                </w:tcPr>
                <w:p>
                  <w:pPr>
                    <w:snapToGrid w:val="0"/>
                    <w:jc w:val="center"/>
                    <w:rPr>
                      <w:sz w:val="21"/>
                      <w:szCs w:val="21"/>
                    </w:rPr>
                  </w:pPr>
                  <w:r>
                    <w:rPr>
                      <w:sz w:val="21"/>
                      <w:szCs w:val="21"/>
                    </w:rPr>
                    <w:t>6.77E-02</w:t>
                  </w:r>
                </w:p>
              </w:tc>
              <w:tc>
                <w:tcPr>
                  <w:tcW w:w="1071" w:type="dxa"/>
                  <w:shd w:val="clear" w:color="auto" w:fill="auto"/>
                  <w:vAlign w:val="center"/>
                </w:tcPr>
                <w:p>
                  <w:pPr>
                    <w:snapToGrid w:val="0"/>
                    <w:jc w:val="center"/>
                    <w:rPr>
                      <w:sz w:val="21"/>
                      <w:szCs w:val="21"/>
                    </w:rPr>
                  </w:pPr>
                  <w:r>
                    <w:rPr>
                      <w:sz w:val="21"/>
                      <w:szCs w:val="21"/>
                    </w:rPr>
                    <w:t>4.06E-01</w:t>
                  </w:r>
                </w:p>
              </w:tc>
              <w:tc>
                <w:tcPr>
                  <w:tcW w:w="1041" w:type="dxa"/>
                  <w:shd w:val="clear" w:color="auto" w:fill="auto"/>
                  <w:vAlign w:val="center"/>
                </w:tcPr>
                <w:p>
                  <w:pPr>
                    <w:jc w:val="center"/>
                    <w:rPr>
                      <w:color w:val="000000"/>
                      <w:sz w:val="21"/>
                      <w:szCs w:val="21"/>
                    </w:rPr>
                  </w:pPr>
                  <w:r>
                    <w:rPr>
                      <w:sz w:val="21"/>
                      <w:szCs w:val="21"/>
                    </w:rPr>
                    <w:t>4.74E-01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00" w:type="dxa"/>
                  <w:tcBorders>
                    <w:bottom w:val="single" w:color="auto" w:sz="12" w:space="0"/>
                    <w:right w:val="single" w:color="auto" w:sz="4" w:space="0"/>
                  </w:tcBorders>
                  <w:shd w:val="clear" w:color="auto" w:fill="auto"/>
                  <w:vAlign w:val="center"/>
                </w:tcPr>
                <w:p>
                  <w:pPr>
                    <w:snapToGrid w:val="0"/>
                    <w:jc w:val="center"/>
                    <w:rPr>
                      <w:color w:val="000000"/>
                      <w:szCs w:val="21"/>
                    </w:rPr>
                  </w:pPr>
                  <w:r>
                    <w:rPr>
                      <w:rFonts w:hint="eastAsia"/>
                      <w:color w:val="000000"/>
                      <w:szCs w:val="21"/>
                    </w:rPr>
                    <w:t>K</w:t>
                  </w:r>
                </w:p>
              </w:tc>
              <w:tc>
                <w:tcPr>
                  <w:tcW w:w="1760" w:type="dxa"/>
                  <w:tcBorders>
                    <w:bottom w:val="single" w:color="auto" w:sz="12" w:space="0"/>
                  </w:tcBorders>
                  <w:shd w:val="clear" w:color="auto" w:fill="auto"/>
                  <w:vAlign w:val="center"/>
                </w:tcPr>
                <w:p>
                  <w:pPr>
                    <w:snapToGrid w:val="0"/>
                    <w:jc w:val="center"/>
                    <w:rPr>
                      <w:color w:val="000000"/>
                      <w:szCs w:val="21"/>
                    </w:rPr>
                  </w:pPr>
                  <w:r>
                    <w:rPr>
                      <w:rFonts w:hint="eastAsia"/>
                      <w:color w:val="000000" w:themeColor="text1"/>
                      <w:sz w:val="21"/>
                      <w:szCs w:val="21"/>
                      <w14:textFill>
                        <w14:solidFill>
                          <w14:schemeClr w14:val="tx1"/>
                        </w14:solidFill>
                      </w14:textFill>
                    </w:rPr>
                    <w:t>介入手术室顶棚地面1m高度处（医生办公室）</w:t>
                  </w:r>
                </w:p>
              </w:tc>
              <w:tc>
                <w:tcPr>
                  <w:tcW w:w="1134" w:type="dxa"/>
                  <w:tcBorders>
                    <w:bottom w:val="single" w:color="auto" w:sz="12" w:space="0"/>
                  </w:tcBorders>
                  <w:shd w:val="clear" w:color="auto" w:fill="auto"/>
                  <w:vAlign w:val="center"/>
                </w:tcPr>
                <w:p>
                  <w:pPr>
                    <w:jc w:val="center"/>
                    <w:rPr>
                      <w:sz w:val="21"/>
                      <w:szCs w:val="21"/>
                    </w:rPr>
                  </w:pPr>
                  <w:r>
                    <w:rPr>
                      <w:sz w:val="21"/>
                      <w:szCs w:val="21"/>
                    </w:rPr>
                    <w:t>1.30E+00</w:t>
                  </w:r>
                </w:p>
              </w:tc>
              <w:tc>
                <w:tcPr>
                  <w:tcW w:w="1134" w:type="dxa"/>
                  <w:tcBorders>
                    <w:bottom w:val="single" w:color="auto" w:sz="12" w:space="0"/>
                  </w:tcBorders>
                  <w:shd w:val="clear" w:color="auto" w:fill="auto"/>
                  <w:vAlign w:val="center"/>
                </w:tcPr>
                <w:p>
                  <w:pPr>
                    <w:jc w:val="center"/>
                    <w:rPr>
                      <w:sz w:val="21"/>
                      <w:szCs w:val="21"/>
                    </w:rPr>
                  </w:pPr>
                  <w:r>
                    <w:rPr>
                      <w:sz w:val="21"/>
                      <w:szCs w:val="21"/>
                    </w:rPr>
                    <w:t>7.80E+00</w:t>
                  </w:r>
                </w:p>
              </w:tc>
              <w:tc>
                <w:tcPr>
                  <w:tcW w:w="1134" w:type="dxa"/>
                  <w:tcBorders>
                    <w:bottom w:val="single" w:color="auto" w:sz="12" w:space="0"/>
                  </w:tcBorders>
                  <w:shd w:val="clear" w:color="auto" w:fill="auto"/>
                  <w:vAlign w:val="center"/>
                </w:tcPr>
                <w:p>
                  <w:pPr>
                    <w:jc w:val="center"/>
                    <w:rPr>
                      <w:color w:val="000000"/>
                      <w:sz w:val="21"/>
                      <w:szCs w:val="21"/>
                    </w:rPr>
                  </w:pPr>
                  <w:r>
                    <w:rPr>
                      <w:sz w:val="21"/>
                      <w:szCs w:val="21"/>
                    </w:rPr>
                    <w:t>9.11E+00</w:t>
                  </w:r>
                </w:p>
              </w:tc>
              <w:tc>
                <w:tcPr>
                  <w:tcW w:w="1134" w:type="dxa"/>
                  <w:tcBorders>
                    <w:bottom w:val="single" w:color="auto" w:sz="12" w:space="0"/>
                  </w:tcBorders>
                  <w:shd w:val="clear" w:color="auto" w:fill="auto"/>
                  <w:vAlign w:val="center"/>
                </w:tcPr>
                <w:p>
                  <w:pPr>
                    <w:snapToGrid w:val="0"/>
                    <w:jc w:val="center"/>
                    <w:rPr>
                      <w:sz w:val="21"/>
                      <w:szCs w:val="21"/>
                    </w:rPr>
                  </w:pPr>
                  <w:r>
                    <w:rPr>
                      <w:sz w:val="21"/>
                      <w:szCs w:val="21"/>
                    </w:rPr>
                    <w:t>4.16E-02</w:t>
                  </w:r>
                </w:p>
              </w:tc>
              <w:tc>
                <w:tcPr>
                  <w:tcW w:w="1071" w:type="dxa"/>
                  <w:tcBorders>
                    <w:bottom w:val="single" w:color="auto" w:sz="12" w:space="0"/>
                  </w:tcBorders>
                  <w:shd w:val="clear" w:color="auto" w:fill="auto"/>
                  <w:vAlign w:val="center"/>
                </w:tcPr>
                <w:p>
                  <w:pPr>
                    <w:snapToGrid w:val="0"/>
                    <w:jc w:val="center"/>
                    <w:rPr>
                      <w:sz w:val="21"/>
                      <w:szCs w:val="21"/>
                    </w:rPr>
                  </w:pPr>
                  <w:r>
                    <w:rPr>
                      <w:sz w:val="21"/>
                      <w:szCs w:val="21"/>
                    </w:rPr>
                    <w:t>2.50E-01</w:t>
                  </w:r>
                </w:p>
              </w:tc>
              <w:tc>
                <w:tcPr>
                  <w:tcW w:w="1041" w:type="dxa"/>
                  <w:tcBorders>
                    <w:bottom w:val="single" w:color="auto" w:sz="12" w:space="0"/>
                  </w:tcBorders>
                  <w:shd w:val="clear" w:color="auto" w:fill="auto"/>
                  <w:vAlign w:val="center"/>
                </w:tcPr>
                <w:p>
                  <w:pPr>
                    <w:jc w:val="center"/>
                    <w:rPr>
                      <w:color w:val="000000"/>
                      <w:sz w:val="21"/>
                      <w:szCs w:val="21"/>
                    </w:rPr>
                  </w:pPr>
                  <w:r>
                    <w:rPr>
                      <w:sz w:val="21"/>
                      <w:szCs w:val="21"/>
                    </w:rPr>
                    <w:t>2.91E-01</w:t>
                  </w:r>
                </w:p>
              </w:tc>
            </w:tr>
          </w:tbl>
          <w:p>
            <w:pPr>
              <w:adjustRightInd w:val="0"/>
              <w:spacing w:line="360" w:lineRule="auto"/>
              <w:ind w:firstLine="480" w:firstLineChars="200"/>
              <w:rPr>
                <w:color w:val="000000"/>
              </w:rPr>
            </w:pPr>
            <w:r>
              <w:rPr>
                <w:color w:val="000000"/>
              </w:rPr>
              <w:t>由表11-4可知，在透视状态下，</w:t>
            </w:r>
            <w:r>
              <w:rPr>
                <w:rFonts w:hint="eastAsia"/>
                <w:color w:val="000000"/>
              </w:rPr>
              <w:t>DSA手术室</w:t>
            </w:r>
            <w:r>
              <w:rPr>
                <w:color w:val="000000"/>
              </w:rPr>
              <w:t>各屏蔽体外表面0.3m处的周围剂量当量率最大为1.03µSv/h，则项目</w:t>
            </w:r>
            <w:r>
              <w:rPr>
                <w:rFonts w:hint="eastAsia"/>
                <w:color w:val="000000"/>
              </w:rPr>
              <w:t>DSA手术室</w:t>
            </w:r>
            <w:r>
              <w:rPr>
                <w:color w:val="000000"/>
              </w:rPr>
              <w:t>屏蔽防护能满足《放射诊断放射防护要求》（GBZ130-2020）中“具有透视功能的X射线机在透视条件下检测时，周围剂量当量率控制目标值应不大于2.5μSv/h”的要求。</w:t>
            </w:r>
          </w:p>
          <w:p>
            <w:pPr>
              <w:pStyle w:val="2"/>
              <w:ind w:firstLine="480"/>
              <w:rPr>
                <w:rFonts w:eastAsia="宋体"/>
              </w:rPr>
            </w:pPr>
            <w:r>
              <w:rPr>
                <w:rFonts w:hint="eastAsia" w:eastAsia="宋体"/>
              </w:rPr>
              <w:t>在采集状态下，DSA手术室各屏蔽体及防护门外0</w:t>
            </w:r>
            <w:r>
              <w:rPr>
                <w:rFonts w:eastAsia="宋体"/>
              </w:rPr>
              <w:t>.3m</w:t>
            </w:r>
            <w:r>
              <w:rPr>
                <w:rFonts w:hint="eastAsia" w:eastAsia="宋体"/>
              </w:rPr>
              <w:t>处、楼上及楼下人员停留位置处的总附加剂量率最大为3</w:t>
            </w:r>
            <w:r>
              <w:rPr>
                <w:rFonts w:eastAsia="宋体"/>
              </w:rPr>
              <w:t>2.07</w:t>
            </w:r>
            <w:r>
              <w:rPr>
                <w:rFonts w:hint="eastAsia" w:eastAsia="宋体"/>
              </w:rPr>
              <w:t>µ</w:t>
            </w:r>
            <w:r>
              <w:rPr>
                <w:rFonts w:eastAsia="宋体"/>
              </w:rPr>
              <w:t>Sv/h</w:t>
            </w:r>
            <w:r>
              <w:rPr>
                <w:rFonts w:hint="eastAsia" w:eastAsia="宋体"/>
              </w:rPr>
              <w:t>，根据G</w:t>
            </w:r>
            <w:r>
              <w:rPr>
                <w:rFonts w:eastAsia="宋体"/>
              </w:rPr>
              <w:t>BZ130-2020</w:t>
            </w:r>
            <w:r>
              <w:rPr>
                <w:rFonts w:hint="eastAsia" w:eastAsia="宋体"/>
              </w:rPr>
              <w:t>附录B中“采集机房屏蔽外的周围剂量当量率不大于2</w:t>
            </w:r>
            <w:r>
              <w:rPr>
                <w:rFonts w:eastAsia="宋体"/>
              </w:rPr>
              <w:t>5</w:t>
            </w:r>
            <w:r>
              <w:rPr>
                <w:rFonts w:hint="eastAsia" w:eastAsia="宋体"/>
              </w:rPr>
              <w:t>µ</w:t>
            </w:r>
            <w:r>
              <w:rPr>
                <w:rFonts w:eastAsia="宋体"/>
              </w:rPr>
              <w:t>Sv/h</w:t>
            </w:r>
            <w:r>
              <w:rPr>
                <w:rFonts w:hint="eastAsia" w:eastAsia="宋体"/>
              </w:rPr>
              <w:t>为曝光管电流1</w:t>
            </w:r>
            <w:r>
              <w:rPr>
                <w:rFonts w:eastAsia="宋体"/>
              </w:rPr>
              <w:t>00mA</w:t>
            </w:r>
            <w:r>
              <w:rPr>
                <w:rFonts w:hint="eastAsia" w:eastAsia="宋体"/>
              </w:rPr>
              <w:t>时的限值，若管电流不是1</w:t>
            </w:r>
            <w:r>
              <w:rPr>
                <w:rFonts w:eastAsia="宋体"/>
              </w:rPr>
              <w:t>00mA</w:t>
            </w:r>
            <w:r>
              <w:rPr>
                <w:rFonts w:hint="eastAsia" w:eastAsia="宋体"/>
              </w:rPr>
              <w:t>，则应将测量值归一至1</w:t>
            </w:r>
            <w:r>
              <w:rPr>
                <w:rFonts w:eastAsia="宋体"/>
              </w:rPr>
              <w:t>00mA</w:t>
            </w:r>
            <w:r>
              <w:rPr>
                <w:rFonts w:hint="eastAsia" w:eastAsia="宋体"/>
              </w:rPr>
              <w:t>”，本项目采集时管电流取</w:t>
            </w:r>
            <w:r>
              <w:rPr>
                <w:rFonts w:eastAsia="宋体"/>
              </w:rPr>
              <w:t>800mA</w:t>
            </w:r>
            <w:r>
              <w:rPr>
                <w:rFonts w:hint="eastAsia" w:eastAsia="宋体"/>
              </w:rPr>
              <w:t>，采集状态下将电流值归一至1</w:t>
            </w:r>
            <w:r>
              <w:rPr>
                <w:rFonts w:eastAsia="宋体"/>
              </w:rPr>
              <w:t>00mA</w:t>
            </w:r>
            <w:r>
              <w:rPr>
                <w:rFonts w:hint="eastAsia" w:eastAsia="宋体"/>
              </w:rPr>
              <w:t>时，DSA手术室各屏蔽体及防护门外0.3m处、楼上及楼下人员停留位置处的总附加剂量率最大为</w:t>
            </w:r>
            <w:r>
              <w:rPr>
                <w:rFonts w:eastAsia="宋体"/>
              </w:rPr>
              <w:t>4.01</w:t>
            </w:r>
            <w:r>
              <w:rPr>
                <w:rFonts w:hint="eastAsia" w:eastAsia="宋体"/>
              </w:rPr>
              <w:t>µSv/h，其结果满足“采集机房屏蔽外的周围剂量当量率不大于25µSv/h”相关标准限值要求，说明机房各屏蔽体的防护效果较好。</w:t>
            </w:r>
          </w:p>
          <w:p>
            <w:pPr>
              <w:spacing w:line="360" w:lineRule="auto"/>
              <w:ind w:firstLine="240" w:firstLineChars="100"/>
              <w:rPr>
                <w:bCs/>
                <w:color w:val="000000"/>
              </w:rPr>
            </w:pPr>
            <w:r>
              <w:rPr>
                <w:bCs/>
                <w:color w:val="000000"/>
              </w:rPr>
              <w:t>（4）</w:t>
            </w:r>
            <w:r>
              <w:rPr>
                <w:rFonts w:hint="eastAsia"/>
                <w:bCs/>
                <w:color w:val="000000"/>
              </w:rPr>
              <w:t>职业人员和公众年有效剂量估算</w:t>
            </w:r>
          </w:p>
          <w:p>
            <w:pPr>
              <w:spacing w:line="360" w:lineRule="auto"/>
              <w:ind w:firstLine="480" w:firstLineChars="200"/>
              <w:rPr>
                <w:bCs/>
                <w:color w:val="000000"/>
              </w:rPr>
            </w:pPr>
            <w:r>
              <w:rPr>
                <w:rFonts w:hint="eastAsia" w:ascii="宋体" w:hAnsi="宋体" w:cs="宋体"/>
                <w:bCs/>
                <w:color w:val="000000"/>
              </w:rPr>
              <w:t>①</w:t>
            </w:r>
            <w:r>
              <w:rPr>
                <w:bCs/>
                <w:color w:val="000000"/>
              </w:rPr>
              <w:t>估算方法</w:t>
            </w:r>
          </w:p>
          <w:p>
            <w:pPr>
              <w:spacing w:line="360" w:lineRule="auto"/>
              <w:ind w:firstLine="480" w:firstLineChars="200"/>
              <w:rPr>
                <w:bCs/>
                <w:color w:val="000000"/>
              </w:rPr>
            </w:pPr>
            <w:r>
              <w:rPr>
                <w:bCs/>
                <w:color w:val="000000"/>
              </w:rPr>
              <w:t>人员受到的附加年有效剂量可由式11-4计算得到。</w:t>
            </w:r>
          </w:p>
          <w:p>
            <w:pPr>
              <w:spacing w:line="360" w:lineRule="auto"/>
              <w:ind w:firstLine="480" w:firstLineChars="200"/>
              <w:jc w:val="right"/>
              <w:rPr>
                <w:bCs/>
                <w:color w:val="000000"/>
              </w:rPr>
            </w:pPr>
            <m:oMath>
              <m:sSub>
                <m:sSubPr>
                  <m:ctrlPr>
                    <w:rPr>
                      <w:rFonts w:ascii="Cambria Math" w:hAnsi="Cambria Math"/>
                      <w:bCs/>
                    </w:rPr>
                  </m:ctrlPr>
                </m:sSubPr>
                <m:e>
                  <m:r>
                    <m:rPr/>
                    <w:rPr>
                      <w:rFonts w:ascii="Cambria Math" w:hAnsi="Cambria Math"/>
                    </w:rPr>
                    <m:t>H</m:t>
                  </m:r>
                  <m:ctrlPr>
                    <w:rPr>
                      <w:rFonts w:ascii="Cambria Math" w:hAnsi="Cambria Math"/>
                      <w:bCs/>
                    </w:rPr>
                  </m:ctrlPr>
                </m:e>
                <m:sub>
                  <m:r>
                    <m:rPr/>
                    <w:rPr>
                      <w:rFonts w:ascii="Cambria Math" w:hAnsi="Cambria Math"/>
                    </w:rPr>
                    <m:t>w</m:t>
                  </m:r>
                  <m:ctrlPr>
                    <w:rPr>
                      <w:rFonts w:ascii="Cambria Math" w:hAnsi="Cambria Math"/>
                      <w:bCs/>
                    </w:rPr>
                  </m:ctrlPr>
                </m:sub>
              </m:sSub>
              <m:r>
                <m:rPr/>
                <w:rPr>
                  <w:rFonts w:ascii="Cambria Math" w:hAnsi="Cambria Math"/>
                </w:rPr>
                <m:t>=</m:t>
              </m:r>
              <m:sSub>
                <m:sSubPr>
                  <m:ctrlPr>
                    <w:rPr>
                      <w:rFonts w:ascii="Cambria Math" w:hAnsi="Cambria Math"/>
                      <w:bCs/>
                      <w:i/>
                    </w:rPr>
                  </m:ctrlPr>
                </m:sSubPr>
                <m:e>
                  <m:r>
                    <m:rPr/>
                    <w:rPr>
                      <w:rFonts w:ascii="Cambria Math" w:hAnsi="Cambria Math"/>
                    </w:rPr>
                    <m:t>H</m:t>
                  </m:r>
                  <m:ctrlPr>
                    <w:rPr>
                      <w:rFonts w:ascii="Cambria Math" w:hAnsi="Cambria Math"/>
                      <w:bCs/>
                      <w:i/>
                    </w:rPr>
                  </m:ctrlPr>
                </m:e>
                <m:sub>
                  <m:r>
                    <m:rPr/>
                    <w:rPr>
                      <w:rFonts w:ascii="Cambria Math" w:hAnsi="Cambria Math"/>
                    </w:rPr>
                    <m:t>R</m:t>
                  </m:r>
                  <m:ctrlPr>
                    <w:rPr>
                      <w:rFonts w:ascii="Cambria Math" w:hAnsi="Cambria Math"/>
                      <w:bCs/>
                      <w:i/>
                    </w:rPr>
                  </m:ctrlPr>
                </m:sub>
              </m:sSub>
              <m:r>
                <m:rPr/>
                <w:rPr>
                  <w:rFonts w:ascii="Cambria Math" w:hAnsi="Cambria Math"/>
                </w:rPr>
                <m:t>×K×T×t</m:t>
              </m:r>
            </m:oMath>
            <w:r>
              <w:rPr>
                <w:bCs/>
                <w:color w:val="000000"/>
              </w:rPr>
              <w:t xml:space="preserve">                           （11-4）</w:t>
            </w:r>
          </w:p>
          <w:p>
            <w:pPr>
              <w:spacing w:line="360" w:lineRule="auto"/>
              <w:ind w:firstLine="480" w:firstLineChars="200"/>
              <w:jc w:val="left"/>
              <w:rPr>
                <w:bCs/>
                <w:color w:val="000000"/>
              </w:rPr>
            </w:pPr>
            <w:r>
              <w:rPr>
                <w:bCs/>
                <w:color w:val="000000"/>
              </w:rPr>
              <w:t>式中：</w:t>
            </w:r>
            <m:oMath>
              <m:sSub>
                <m:sSubPr>
                  <m:ctrlPr>
                    <w:rPr>
                      <w:rFonts w:ascii="Cambria Math" w:hAnsi="Cambria Math" w:eastAsia="Cambria Math"/>
                      <w:bCs/>
                      <w:i/>
                    </w:rPr>
                  </m:ctrlPr>
                </m:sSubPr>
                <m:e>
                  <m:r>
                    <m:rPr/>
                    <w:rPr>
                      <w:rFonts w:ascii="Cambria Math" w:hAnsi="Cambria Math" w:eastAsia="等线"/>
                    </w:rPr>
                    <m:t>H</m:t>
                  </m:r>
                  <m:ctrlPr>
                    <w:rPr>
                      <w:rFonts w:ascii="Cambria Math" w:hAnsi="Cambria Math" w:eastAsia="Cambria Math"/>
                      <w:bCs/>
                      <w:i/>
                    </w:rPr>
                  </m:ctrlPr>
                </m:e>
                <m:sub>
                  <m:r>
                    <m:rPr/>
                    <w:rPr>
                      <w:rFonts w:ascii="Cambria Math" w:hAnsi="Cambria Math" w:eastAsia="等线"/>
                    </w:rPr>
                    <m:t>W</m:t>
                  </m:r>
                  <m:ctrlPr>
                    <w:rPr>
                      <w:rFonts w:ascii="Cambria Math" w:hAnsi="Cambria Math" w:eastAsia="Cambria Math"/>
                      <w:bCs/>
                      <w:i/>
                    </w:rPr>
                  </m:ctrlPr>
                </m:sub>
              </m:sSub>
            </m:oMath>
            <w:r>
              <w:rPr>
                <w:bCs/>
                <w:color w:val="000000"/>
              </w:rPr>
              <w:t>—年受照剂量；</w:t>
            </w:r>
          </w:p>
          <w:p>
            <w:pPr>
              <w:spacing w:line="360" w:lineRule="auto"/>
              <w:ind w:firstLine="1200" w:firstLineChars="500"/>
              <w:jc w:val="left"/>
              <w:rPr>
                <w:bCs/>
                <w:color w:val="000000"/>
              </w:rPr>
            </w:pPr>
            <m:oMath>
              <m:sSub>
                <m:sSubPr>
                  <m:ctrlPr>
                    <w:rPr>
                      <w:rFonts w:ascii="Cambria Math" w:hAnsi="Cambria Math" w:eastAsia="Cambria Math"/>
                      <w:bCs/>
                      <w:i/>
                    </w:rPr>
                  </m:ctrlPr>
                </m:sSubPr>
                <m:e>
                  <m:r>
                    <m:rPr/>
                    <w:rPr>
                      <w:rFonts w:ascii="Cambria Math" w:hAnsi="Cambria Math" w:eastAsia="等线"/>
                    </w:rPr>
                    <m:t>H</m:t>
                  </m:r>
                  <m:ctrlPr>
                    <w:rPr>
                      <w:rFonts w:ascii="Cambria Math" w:hAnsi="Cambria Math" w:eastAsia="Cambria Math"/>
                      <w:bCs/>
                      <w:i/>
                    </w:rPr>
                  </m:ctrlPr>
                </m:e>
                <m:sub>
                  <m:r>
                    <m:rPr/>
                    <w:rPr>
                      <w:rFonts w:ascii="Cambria Math" w:hAnsi="Cambria Math" w:eastAsia="等线"/>
                    </w:rPr>
                    <m:t>R</m:t>
                  </m:r>
                  <m:ctrlPr>
                    <w:rPr>
                      <w:rFonts w:ascii="Cambria Math" w:hAnsi="Cambria Math" w:eastAsia="Cambria Math"/>
                      <w:bCs/>
                      <w:i/>
                    </w:rPr>
                  </m:ctrlPr>
                </m:sub>
              </m:sSub>
            </m:oMath>
            <w:r>
              <w:rPr>
                <w:bCs/>
                <w:color w:val="000000"/>
              </w:rPr>
              <w:t>—计算点附加剂量率，µSv/h；</w:t>
            </w:r>
          </w:p>
          <w:p>
            <w:pPr>
              <w:spacing w:line="360" w:lineRule="auto"/>
              <w:ind w:firstLine="1200" w:firstLineChars="500"/>
              <w:jc w:val="left"/>
              <w:rPr>
                <w:bCs/>
                <w:color w:val="000000"/>
              </w:rPr>
            </w:pPr>
            <m:oMath>
              <m:r>
                <m:rPr/>
                <w:rPr>
                  <w:rFonts w:ascii="Cambria Math" w:hAnsi="Cambria Math" w:eastAsia="等线"/>
                </w:rPr>
                <m:t>K</m:t>
              </m:r>
            </m:oMath>
            <w:r>
              <w:rPr>
                <w:bCs/>
                <w:color w:val="000000"/>
              </w:rPr>
              <w:t>—有效剂量与吸收剂量换算系数，取1；</w:t>
            </w:r>
          </w:p>
          <w:p>
            <w:pPr>
              <w:spacing w:line="360" w:lineRule="auto"/>
              <w:ind w:firstLine="1200" w:firstLineChars="500"/>
              <w:jc w:val="left"/>
              <w:rPr>
                <w:bCs/>
                <w:color w:val="000000"/>
              </w:rPr>
            </w:pPr>
            <m:oMath>
              <m:r>
                <m:rPr/>
                <w:rPr>
                  <w:rFonts w:ascii="Cambria Math" w:hAnsi="Cambria Math" w:eastAsia="等线"/>
                </w:rPr>
                <m:t>T</m:t>
              </m:r>
            </m:oMath>
            <w:r>
              <w:rPr>
                <w:bCs/>
                <w:color w:val="000000"/>
              </w:rPr>
              <w:t>—人员居留因子，参考《放射治疗机房的辐射屏蔽规范》&lt;第1部分：一般原则&gt;（GBZ/T 201.1-2007）附录A中的表A.1，如表11-5所示；</w:t>
            </w:r>
          </w:p>
          <w:p>
            <w:pPr>
              <w:spacing w:line="360" w:lineRule="auto"/>
              <w:ind w:firstLine="1200" w:firstLineChars="500"/>
              <w:jc w:val="left"/>
              <w:rPr>
                <w:bCs/>
                <w:color w:val="000000"/>
              </w:rPr>
            </w:pPr>
            <m:oMath>
              <m:r>
                <m:rPr/>
                <w:rPr>
                  <w:rFonts w:ascii="Cambria Math" w:hAnsi="Cambria Math" w:eastAsia="等线"/>
                </w:rPr>
                <m:t>t</m:t>
              </m:r>
            </m:oMath>
            <w:r>
              <w:rPr>
                <w:bCs/>
                <w:color w:val="000000"/>
              </w:rPr>
              <w:t>—年曝光时间，h/a。</w:t>
            </w:r>
          </w:p>
          <w:p>
            <w:pPr>
              <w:spacing w:line="360" w:lineRule="auto"/>
              <w:jc w:val="center"/>
              <w:rPr>
                <w:b/>
                <w:color w:val="000000"/>
                <w:kern w:val="0"/>
                <w:sz w:val="21"/>
                <w:szCs w:val="21"/>
              </w:rPr>
            </w:pPr>
            <w:r>
              <w:rPr>
                <w:b/>
                <w:color w:val="000000"/>
                <w:kern w:val="0"/>
                <w:sz w:val="21"/>
                <w:szCs w:val="21"/>
              </w:rPr>
              <w:t>表11-5  不同场所的居留因子</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053"/>
              <w:gridCol w:w="1050"/>
              <w:gridCol w:w="55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vMerge w:val="restart"/>
                  <w:tcBorders>
                    <w:top w:val="single" w:color="auto" w:sz="12" w:space="0"/>
                    <w:bottom w:val="single" w:color="auto" w:sz="12" w:space="0"/>
                  </w:tcBorders>
                  <w:shd w:val="clear" w:color="auto" w:fill="auto"/>
                  <w:vAlign w:val="center"/>
                </w:tcPr>
                <w:p>
                  <w:pPr>
                    <w:jc w:val="center"/>
                    <w:rPr>
                      <w:color w:val="000000"/>
                      <w:kern w:val="0"/>
                      <w:sz w:val="21"/>
                      <w:szCs w:val="21"/>
                    </w:rPr>
                  </w:pPr>
                  <w:r>
                    <w:rPr>
                      <w:color w:val="000000"/>
                      <w:kern w:val="0"/>
                      <w:sz w:val="21"/>
                      <w:szCs w:val="21"/>
                    </w:rPr>
                    <w:t>场所</w:t>
                  </w:r>
                </w:p>
              </w:tc>
              <w:tc>
                <w:tcPr>
                  <w:tcW w:w="1194" w:type="pct"/>
                  <w:gridSpan w:val="2"/>
                  <w:tcBorders>
                    <w:bottom w:val="single" w:color="auto" w:sz="4" w:space="0"/>
                  </w:tcBorders>
                  <w:shd w:val="clear" w:color="auto" w:fill="auto"/>
                  <w:vAlign w:val="center"/>
                </w:tcPr>
                <w:p>
                  <w:pPr>
                    <w:jc w:val="center"/>
                    <w:rPr>
                      <w:color w:val="000000"/>
                      <w:kern w:val="0"/>
                      <w:sz w:val="21"/>
                      <w:szCs w:val="21"/>
                    </w:rPr>
                  </w:pPr>
                  <w:r>
                    <w:rPr>
                      <w:color w:val="000000"/>
                      <w:kern w:val="0"/>
                      <w:sz w:val="21"/>
                      <w:szCs w:val="21"/>
                    </w:rPr>
                    <w:t>居留因子（T）</w:t>
                  </w:r>
                </w:p>
              </w:tc>
              <w:tc>
                <w:tcPr>
                  <w:tcW w:w="3124" w:type="pct"/>
                  <w:vMerge w:val="restart"/>
                  <w:tcBorders>
                    <w:top w:val="single" w:color="auto" w:sz="12" w:space="0"/>
                    <w:bottom w:val="single" w:color="auto" w:sz="12" w:space="0"/>
                  </w:tcBorders>
                  <w:shd w:val="clear" w:color="auto" w:fill="auto"/>
                  <w:vAlign w:val="center"/>
                </w:tcPr>
                <w:p>
                  <w:pPr>
                    <w:jc w:val="center"/>
                    <w:rPr>
                      <w:color w:val="000000"/>
                      <w:kern w:val="0"/>
                      <w:sz w:val="21"/>
                      <w:szCs w:val="21"/>
                    </w:rPr>
                  </w:pPr>
                  <w:r>
                    <w:rPr>
                      <w:color w:val="000000"/>
                      <w:kern w:val="0"/>
                      <w:sz w:val="21"/>
                      <w:szCs w:val="21"/>
                    </w:rPr>
                    <w:t>示例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vMerge w:val="continue"/>
                  <w:tcBorders>
                    <w:top w:val="single" w:color="auto" w:sz="4" w:space="0"/>
                    <w:bottom w:val="single" w:color="auto" w:sz="12" w:space="0"/>
                  </w:tcBorders>
                  <w:shd w:val="clear" w:color="auto" w:fill="auto"/>
                  <w:vAlign w:val="center"/>
                </w:tcPr>
                <w:p>
                  <w:pPr>
                    <w:jc w:val="center"/>
                    <w:rPr>
                      <w:color w:val="000000"/>
                      <w:kern w:val="0"/>
                      <w:sz w:val="21"/>
                      <w:szCs w:val="21"/>
                    </w:rPr>
                  </w:pPr>
                </w:p>
              </w:tc>
              <w:tc>
                <w:tcPr>
                  <w:tcW w:w="598" w:type="pct"/>
                  <w:tcBorders>
                    <w:top w:val="single" w:color="auto" w:sz="4" w:space="0"/>
                    <w:bottom w:val="single" w:color="auto" w:sz="12" w:space="0"/>
                  </w:tcBorders>
                  <w:shd w:val="clear" w:color="auto" w:fill="auto"/>
                  <w:vAlign w:val="center"/>
                </w:tcPr>
                <w:p>
                  <w:pPr>
                    <w:jc w:val="center"/>
                    <w:rPr>
                      <w:color w:val="000000"/>
                      <w:kern w:val="0"/>
                      <w:sz w:val="21"/>
                      <w:szCs w:val="21"/>
                    </w:rPr>
                  </w:pPr>
                  <w:r>
                    <w:rPr>
                      <w:color w:val="000000"/>
                      <w:kern w:val="0"/>
                      <w:sz w:val="21"/>
                      <w:szCs w:val="21"/>
                    </w:rPr>
                    <w:t>典型值</w:t>
                  </w:r>
                </w:p>
              </w:tc>
              <w:tc>
                <w:tcPr>
                  <w:tcW w:w="596" w:type="pct"/>
                  <w:tcBorders>
                    <w:top w:val="single" w:color="auto" w:sz="4" w:space="0"/>
                    <w:bottom w:val="single" w:color="auto" w:sz="12" w:space="0"/>
                  </w:tcBorders>
                  <w:shd w:val="clear" w:color="auto" w:fill="auto"/>
                  <w:vAlign w:val="center"/>
                </w:tcPr>
                <w:p>
                  <w:pPr>
                    <w:jc w:val="center"/>
                    <w:rPr>
                      <w:color w:val="000000"/>
                      <w:kern w:val="0"/>
                      <w:sz w:val="21"/>
                      <w:szCs w:val="21"/>
                    </w:rPr>
                  </w:pPr>
                  <w:r>
                    <w:rPr>
                      <w:color w:val="000000"/>
                      <w:kern w:val="0"/>
                      <w:sz w:val="21"/>
                      <w:szCs w:val="21"/>
                    </w:rPr>
                    <w:t>范围</w:t>
                  </w:r>
                </w:p>
              </w:tc>
              <w:tc>
                <w:tcPr>
                  <w:tcW w:w="3124" w:type="pct"/>
                  <w:vMerge w:val="continue"/>
                  <w:tcBorders>
                    <w:top w:val="single" w:color="auto" w:sz="4" w:space="0"/>
                    <w:bottom w:val="single" w:color="auto" w:sz="12" w:space="0"/>
                  </w:tcBorders>
                  <w:shd w:val="clear" w:color="auto" w:fill="auto"/>
                  <w:vAlign w:val="center"/>
                </w:tcPr>
                <w:p>
                  <w:pPr>
                    <w:jc w:val="center"/>
                    <w:rPr>
                      <w:color w:val="00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tcBorders>
                    <w:top w:val="single" w:color="auto" w:sz="12" w:space="0"/>
                  </w:tcBorders>
                  <w:shd w:val="clear" w:color="auto" w:fill="auto"/>
                  <w:vAlign w:val="center"/>
                </w:tcPr>
                <w:p>
                  <w:pPr>
                    <w:jc w:val="center"/>
                    <w:rPr>
                      <w:color w:val="000000"/>
                      <w:kern w:val="0"/>
                      <w:sz w:val="21"/>
                      <w:szCs w:val="21"/>
                    </w:rPr>
                  </w:pPr>
                  <w:r>
                    <w:rPr>
                      <w:color w:val="000000"/>
                      <w:kern w:val="0"/>
                      <w:sz w:val="21"/>
                      <w:szCs w:val="21"/>
                    </w:rPr>
                    <w:t>全居留</w:t>
                  </w:r>
                </w:p>
              </w:tc>
              <w:tc>
                <w:tcPr>
                  <w:tcW w:w="598" w:type="pct"/>
                  <w:tcBorders>
                    <w:top w:val="single" w:color="auto" w:sz="12" w:space="0"/>
                  </w:tcBorders>
                  <w:shd w:val="clear" w:color="auto" w:fill="auto"/>
                  <w:vAlign w:val="center"/>
                </w:tcPr>
                <w:p>
                  <w:pPr>
                    <w:jc w:val="center"/>
                    <w:rPr>
                      <w:color w:val="000000"/>
                      <w:kern w:val="0"/>
                      <w:sz w:val="21"/>
                      <w:szCs w:val="21"/>
                    </w:rPr>
                  </w:pPr>
                  <w:r>
                    <w:rPr>
                      <w:color w:val="000000"/>
                      <w:kern w:val="0"/>
                      <w:sz w:val="21"/>
                      <w:szCs w:val="21"/>
                    </w:rPr>
                    <w:t>1</w:t>
                  </w:r>
                </w:p>
              </w:tc>
              <w:tc>
                <w:tcPr>
                  <w:tcW w:w="596" w:type="pct"/>
                  <w:tcBorders>
                    <w:top w:val="single" w:color="auto" w:sz="12" w:space="0"/>
                  </w:tcBorders>
                  <w:shd w:val="clear" w:color="auto" w:fill="auto"/>
                  <w:vAlign w:val="center"/>
                </w:tcPr>
                <w:p>
                  <w:pPr>
                    <w:jc w:val="center"/>
                    <w:rPr>
                      <w:color w:val="000000"/>
                      <w:kern w:val="0"/>
                      <w:sz w:val="21"/>
                      <w:szCs w:val="21"/>
                    </w:rPr>
                  </w:pPr>
                  <w:r>
                    <w:rPr>
                      <w:color w:val="000000"/>
                      <w:kern w:val="0"/>
                      <w:sz w:val="21"/>
                      <w:szCs w:val="21"/>
                    </w:rPr>
                    <w:t>1</w:t>
                  </w:r>
                </w:p>
              </w:tc>
              <w:tc>
                <w:tcPr>
                  <w:tcW w:w="3124" w:type="pct"/>
                  <w:tcBorders>
                    <w:top w:val="single" w:color="auto" w:sz="12" w:space="0"/>
                  </w:tcBorders>
                  <w:shd w:val="clear" w:color="auto" w:fill="auto"/>
                  <w:vAlign w:val="center"/>
                </w:tcPr>
                <w:p>
                  <w:pPr>
                    <w:jc w:val="left"/>
                    <w:rPr>
                      <w:color w:val="000000"/>
                      <w:kern w:val="0"/>
                      <w:sz w:val="21"/>
                      <w:szCs w:val="21"/>
                    </w:rPr>
                  </w:pPr>
                  <w:r>
                    <w:rPr>
                      <w:color w:val="000000"/>
                      <w:kern w:val="0"/>
                      <w:sz w:val="21"/>
                      <w:szCs w:val="21"/>
                    </w:rPr>
                    <w:t>管理人员或职业办公室、治疗计划区、治疗控制室、护士站、咨询台、有人护理的候诊室以及周围建筑物中的驻留区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82" w:type="pct"/>
                  <w:shd w:val="clear" w:color="auto" w:fill="auto"/>
                  <w:vAlign w:val="center"/>
                </w:tcPr>
                <w:p>
                  <w:pPr>
                    <w:jc w:val="center"/>
                    <w:rPr>
                      <w:color w:val="000000"/>
                      <w:kern w:val="0"/>
                      <w:sz w:val="21"/>
                      <w:szCs w:val="21"/>
                    </w:rPr>
                  </w:pPr>
                  <w:r>
                    <w:rPr>
                      <w:color w:val="000000"/>
                      <w:kern w:val="0"/>
                      <w:sz w:val="21"/>
                      <w:szCs w:val="21"/>
                    </w:rPr>
                    <w:t>部分居留</w:t>
                  </w:r>
                </w:p>
              </w:tc>
              <w:tc>
                <w:tcPr>
                  <w:tcW w:w="598" w:type="pct"/>
                  <w:shd w:val="clear" w:color="auto" w:fill="auto"/>
                  <w:vAlign w:val="center"/>
                </w:tcPr>
                <w:p>
                  <w:pPr>
                    <w:jc w:val="center"/>
                    <w:rPr>
                      <w:color w:val="000000"/>
                      <w:kern w:val="0"/>
                      <w:sz w:val="21"/>
                      <w:szCs w:val="21"/>
                    </w:rPr>
                  </w:pPr>
                  <w:r>
                    <w:rPr>
                      <w:color w:val="000000"/>
                      <w:kern w:val="0"/>
                      <w:sz w:val="21"/>
                      <w:szCs w:val="21"/>
                    </w:rPr>
                    <w:t>1/4</w:t>
                  </w:r>
                </w:p>
              </w:tc>
              <w:tc>
                <w:tcPr>
                  <w:tcW w:w="596" w:type="pct"/>
                  <w:shd w:val="clear" w:color="auto" w:fill="auto"/>
                  <w:vAlign w:val="center"/>
                </w:tcPr>
                <w:p>
                  <w:pPr>
                    <w:jc w:val="center"/>
                    <w:rPr>
                      <w:color w:val="000000"/>
                      <w:kern w:val="0"/>
                      <w:sz w:val="21"/>
                      <w:szCs w:val="21"/>
                    </w:rPr>
                  </w:pPr>
                  <w:r>
                    <w:rPr>
                      <w:color w:val="000000"/>
                      <w:kern w:val="0"/>
                      <w:sz w:val="21"/>
                      <w:szCs w:val="21"/>
                    </w:rPr>
                    <w:t>1/2~1/5</w:t>
                  </w:r>
                </w:p>
              </w:tc>
              <w:tc>
                <w:tcPr>
                  <w:tcW w:w="3124" w:type="pct"/>
                  <w:shd w:val="clear" w:color="auto" w:fill="auto"/>
                  <w:vAlign w:val="center"/>
                </w:tcPr>
                <w:p>
                  <w:pPr>
                    <w:jc w:val="left"/>
                    <w:rPr>
                      <w:color w:val="000000"/>
                      <w:kern w:val="0"/>
                      <w:sz w:val="21"/>
                      <w:szCs w:val="21"/>
                    </w:rPr>
                  </w:pPr>
                  <w:r>
                    <w:rPr>
                      <w:color w:val="000000"/>
                      <w:kern w:val="0"/>
                      <w:sz w:val="21"/>
                      <w:szCs w:val="21"/>
                    </w:rPr>
                    <w:t>1/2：相邻的治疗室、与屏蔽室相邻的病人检查室</w:t>
                  </w:r>
                </w:p>
                <w:p>
                  <w:pPr>
                    <w:jc w:val="left"/>
                    <w:rPr>
                      <w:color w:val="000000"/>
                      <w:kern w:val="0"/>
                      <w:sz w:val="21"/>
                      <w:szCs w:val="21"/>
                    </w:rPr>
                  </w:pPr>
                  <w:r>
                    <w:rPr>
                      <w:color w:val="000000"/>
                      <w:kern w:val="0"/>
                      <w:sz w:val="21"/>
                      <w:szCs w:val="21"/>
                    </w:rPr>
                    <w:t>1/5：走廊、雇员休息室、职员休息室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shd w:val="clear" w:color="auto" w:fill="auto"/>
                  <w:vAlign w:val="center"/>
                </w:tcPr>
                <w:p>
                  <w:pPr>
                    <w:jc w:val="center"/>
                    <w:rPr>
                      <w:color w:val="000000"/>
                      <w:kern w:val="0"/>
                      <w:sz w:val="21"/>
                      <w:szCs w:val="21"/>
                    </w:rPr>
                  </w:pPr>
                  <w:r>
                    <w:rPr>
                      <w:color w:val="000000"/>
                      <w:kern w:val="0"/>
                      <w:sz w:val="21"/>
                      <w:szCs w:val="21"/>
                    </w:rPr>
                    <w:t>偶然居留</w:t>
                  </w:r>
                </w:p>
              </w:tc>
              <w:tc>
                <w:tcPr>
                  <w:tcW w:w="598" w:type="pct"/>
                  <w:shd w:val="clear" w:color="auto" w:fill="auto"/>
                  <w:vAlign w:val="center"/>
                </w:tcPr>
                <w:p>
                  <w:pPr>
                    <w:jc w:val="center"/>
                    <w:rPr>
                      <w:color w:val="000000"/>
                      <w:kern w:val="0"/>
                      <w:sz w:val="21"/>
                      <w:szCs w:val="21"/>
                    </w:rPr>
                  </w:pPr>
                  <w:r>
                    <w:rPr>
                      <w:color w:val="000000"/>
                      <w:kern w:val="0"/>
                      <w:sz w:val="21"/>
                      <w:szCs w:val="21"/>
                    </w:rPr>
                    <w:t>1/16</w:t>
                  </w:r>
                </w:p>
              </w:tc>
              <w:tc>
                <w:tcPr>
                  <w:tcW w:w="596" w:type="pct"/>
                  <w:shd w:val="clear" w:color="auto" w:fill="auto"/>
                  <w:vAlign w:val="center"/>
                </w:tcPr>
                <w:p>
                  <w:pPr>
                    <w:jc w:val="center"/>
                    <w:rPr>
                      <w:color w:val="000000"/>
                      <w:kern w:val="0"/>
                      <w:sz w:val="21"/>
                      <w:szCs w:val="21"/>
                    </w:rPr>
                  </w:pPr>
                  <w:r>
                    <w:rPr>
                      <w:color w:val="000000"/>
                      <w:kern w:val="0"/>
                      <w:sz w:val="21"/>
                      <w:szCs w:val="21"/>
                    </w:rPr>
                    <w:t>1/8~1/40</w:t>
                  </w:r>
                </w:p>
              </w:tc>
              <w:tc>
                <w:tcPr>
                  <w:tcW w:w="3124" w:type="pct"/>
                  <w:shd w:val="clear" w:color="auto" w:fill="auto"/>
                  <w:vAlign w:val="center"/>
                </w:tcPr>
                <w:p>
                  <w:pPr>
                    <w:jc w:val="left"/>
                    <w:rPr>
                      <w:color w:val="000000"/>
                      <w:kern w:val="0"/>
                      <w:sz w:val="21"/>
                      <w:szCs w:val="21"/>
                    </w:rPr>
                  </w:pPr>
                  <w:r>
                    <w:rPr>
                      <w:color w:val="000000"/>
                      <w:kern w:val="0"/>
                      <w:sz w:val="21"/>
                      <w:szCs w:val="21"/>
                    </w:rPr>
                    <w:t>1/8：各治疗室房门</w:t>
                  </w:r>
                </w:p>
                <w:p>
                  <w:pPr>
                    <w:jc w:val="left"/>
                    <w:rPr>
                      <w:color w:val="000000"/>
                      <w:kern w:val="0"/>
                      <w:sz w:val="21"/>
                      <w:szCs w:val="21"/>
                    </w:rPr>
                  </w:pPr>
                  <w:r>
                    <w:rPr>
                      <w:color w:val="000000"/>
                      <w:kern w:val="0"/>
                      <w:sz w:val="21"/>
                      <w:szCs w:val="21"/>
                    </w:rPr>
                    <w:t>1/20：公厕、自动售货区、储藏室、设有座椅的户外区域、无人护理的候诊室、病人滞留区域、屋顶、门岗室</w:t>
                  </w:r>
                </w:p>
                <w:p>
                  <w:pPr>
                    <w:jc w:val="left"/>
                    <w:rPr>
                      <w:color w:val="000000"/>
                      <w:kern w:val="0"/>
                      <w:sz w:val="21"/>
                      <w:szCs w:val="21"/>
                    </w:rPr>
                  </w:pPr>
                  <w:r>
                    <w:rPr>
                      <w:color w:val="000000"/>
                      <w:kern w:val="0"/>
                      <w:sz w:val="21"/>
                      <w:szCs w:val="21"/>
                    </w:rPr>
                    <w:t>1/40：仅有来往行人车辆的户外区域、无人看管的停车场，车辆自动卸货/卸客区域、楼梯、无人看管的电梯</w:t>
                  </w:r>
                </w:p>
              </w:tc>
            </w:tr>
          </w:tbl>
          <w:p>
            <w:pPr>
              <w:spacing w:line="360" w:lineRule="auto"/>
              <w:ind w:firstLine="480" w:firstLineChars="200"/>
              <w:rPr>
                <w:bCs/>
                <w:color w:val="000000"/>
              </w:rPr>
            </w:pPr>
            <w:r>
              <w:t>数字减影血管造影</w:t>
            </w:r>
            <w:r>
              <w:rPr>
                <w:rFonts w:hint="eastAsia"/>
              </w:rPr>
              <w:t>机</w:t>
            </w:r>
            <w:r>
              <w:t>（DSA）</w:t>
            </w:r>
            <w:r>
              <w:rPr>
                <w:bCs/>
                <w:color w:val="000000"/>
              </w:rPr>
              <w:t>包括采集和透视两种工作模式，根据建设单位提供的信息，项目正常运行后，介入治疗设备一年最多进行400次手术，每次手术开机照射时间包括：采集</w:t>
            </w:r>
            <w:r>
              <w:rPr>
                <w:rFonts w:hint="eastAsia"/>
                <w:bCs/>
                <w:color w:val="000000"/>
              </w:rPr>
              <w:t>1</w:t>
            </w:r>
            <w:r>
              <w:rPr>
                <w:bCs/>
                <w:color w:val="000000"/>
              </w:rPr>
              <w:t>分钟、透视14分钟，则每台射线装置的预计年开机工作时间如下。</w:t>
            </w:r>
          </w:p>
          <w:p>
            <w:pPr>
              <w:spacing w:line="360" w:lineRule="auto"/>
              <w:jc w:val="center"/>
              <w:rPr>
                <w:b/>
                <w:color w:val="000000"/>
                <w:kern w:val="0"/>
              </w:rPr>
            </w:pPr>
            <w:r>
              <w:rPr>
                <w:b/>
                <w:color w:val="000000"/>
                <w:kern w:val="0"/>
              </w:rPr>
              <w:t>表11-6  不同工作模式下的预计开机时间</w:t>
            </w:r>
          </w:p>
          <w:tbl>
            <w:tblPr>
              <w:tblStyle w:val="16"/>
              <w:tblW w:w="86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14"/>
              <w:gridCol w:w="2059"/>
              <w:gridCol w:w="2059"/>
              <w:gridCol w:w="22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314" w:type="dxa"/>
                  <w:tcBorders>
                    <w:top w:val="single" w:color="auto" w:sz="12" w:space="0"/>
                    <w:bottom w:val="single" w:color="auto" w:sz="12" w:space="0"/>
                  </w:tcBorders>
                  <w:shd w:val="clear" w:color="auto" w:fill="auto"/>
                </w:tcPr>
                <w:p>
                  <w:pPr>
                    <w:jc w:val="center"/>
                    <w:rPr>
                      <w:b/>
                      <w:color w:val="000000"/>
                      <w:sz w:val="21"/>
                      <w:szCs w:val="21"/>
                    </w:rPr>
                  </w:pPr>
                  <w:r>
                    <w:rPr>
                      <w:b/>
                      <w:color w:val="000000"/>
                      <w:sz w:val="21"/>
                      <w:szCs w:val="21"/>
                    </w:rPr>
                    <w:t>工作模式</w:t>
                  </w:r>
                </w:p>
              </w:tc>
              <w:tc>
                <w:tcPr>
                  <w:tcW w:w="2059" w:type="dxa"/>
                  <w:tcBorders>
                    <w:top w:val="single" w:color="auto" w:sz="12" w:space="0"/>
                    <w:bottom w:val="single" w:color="auto" w:sz="12" w:space="0"/>
                  </w:tcBorders>
                  <w:shd w:val="clear" w:color="auto" w:fill="auto"/>
                </w:tcPr>
                <w:p>
                  <w:pPr>
                    <w:jc w:val="center"/>
                    <w:rPr>
                      <w:b/>
                      <w:color w:val="000000"/>
                      <w:sz w:val="21"/>
                      <w:szCs w:val="21"/>
                    </w:rPr>
                  </w:pPr>
                  <w:r>
                    <w:rPr>
                      <w:b/>
                      <w:color w:val="000000"/>
                      <w:sz w:val="21"/>
                      <w:szCs w:val="21"/>
                    </w:rPr>
                    <w:t>每次照射时间</w:t>
                  </w:r>
                </w:p>
              </w:tc>
              <w:tc>
                <w:tcPr>
                  <w:tcW w:w="2059" w:type="dxa"/>
                  <w:tcBorders>
                    <w:top w:val="single" w:color="auto" w:sz="12" w:space="0"/>
                    <w:bottom w:val="single" w:color="auto" w:sz="12" w:space="0"/>
                  </w:tcBorders>
                  <w:shd w:val="clear" w:color="auto" w:fill="auto"/>
                </w:tcPr>
                <w:p>
                  <w:pPr>
                    <w:jc w:val="center"/>
                    <w:rPr>
                      <w:b/>
                      <w:color w:val="000000"/>
                      <w:sz w:val="21"/>
                      <w:szCs w:val="21"/>
                    </w:rPr>
                  </w:pPr>
                  <w:r>
                    <w:rPr>
                      <w:b/>
                      <w:color w:val="000000"/>
                      <w:sz w:val="21"/>
                      <w:szCs w:val="21"/>
                    </w:rPr>
                    <w:t>年最大工作量</w:t>
                  </w:r>
                </w:p>
              </w:tc>
              <w:tc>
                <w:tcPr>
                  <w:tcW w:w="2234" w:type="dxa"/>
                  <w:tcBorders>
                    <w:top w:val="single" w:color="auto" w:sz="12" w:space="0"/>
                    <w:bottom w:val="single" w:color="auto" w:sz="12" w:space="0"/>
                  </w:tcBorders>
                  <w:shd w:val="clear" w:color="auto" w:fill="auto"/>
                </w:tcPr>
                <w:p>
                  <w:pPr>
                    <w:jc w:val="center"/>
                    <w:rPr>
                      <w:b/>
                      <w:color w:val="000000"/>
                      <w:sz w:val="21"/>
                      <w:szCs w:val="21"/>
                    </w:rPr>
                  </w:pPr>
                  <w:r>
                    <w:rPr>
                      <w:b/>
                      <w:color w:val="000000"/>
                      <w:sz w:val="21"/>
                      <w:szCs w:val="21"/>
                    </w:rPr>
                    <w:t>年开机时间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14" w:type="dxa"/>
                  <w:tcBorders>
                    <w:top w:val="single" w:color="auto" w:sz="12" w:space="0"/>
                  </w:tcBorders>
                  <w:shd w:val="clear" w:color="auto" w:fill="auto"/>
                </w:tcPr>
                <w:p>
                  <w:pPr>
                    <w:jc w:val="center"/>
                    <w:rPr>
                      <w:bCs/>
                      <w:color w:val="000000"/>
                      <w:sz w:val="21"/>
                      <w:szCs w:val="21"/>
                    </w:rPr>
                  </w:pPr>
                  <w:r>
                    <w:rPr>
                      <w:bCs/>
                      <w:color w:val="000000"/>
                      <w:sz w:val="21"/>
                      <w:szCs w:val="21"/>
                    </w:rPr>
                    <w:t>采集</w:t>
                  </w:r>
                </w:p>
              </w:tc>
              <w:tc>
                <w:tcPr>
                  <w:tcW w:w="2059" w:type="dxa"/>
                  <w:tcBorders>
                    <w:top w:val="single" w:color="auto" w:sz="12" w:space="0"/>
                  </w:tcBorders>
                  <w:shd w:val="clear" w:color="auto" w:fill="auto"/>
                </w:tcPr>
                <w:p>
                  <w:pPr>
                    <w:jc w:val="center"/>
                    <w:rPr>
                      <w:bCs/>
                      <w:color w:val="000000"/>
                      <w:sz w:val="21"/>
                      <w:szCs w:val="21"/>
                    </w:rPr>
                  </w:pPr>
                  <w:r>
                    <w:rPr>
                      <w:bCs/>
                      <w:color w:val="000000"/>
                      <w:sz w:val="21"/>
                      <w:szCs w:val="21"/>
                    </w:rPr>
                    <w:t>1min</w:t>
                  </w:r>
                </w:p>
              </w:tc>
              <w:tc>
                <w:tcPr>
                  <w:tcW w:w="2059" w:type="dxa"/>
                  <w:tcBorders>
                    <w:top w:val="single" w:color="auto" w:sz="12" w:space="0"/>
                  </w:tcBorders>
                  <w:shd w:val="clear" w:color="auto" w:fill="auto"/>
                </w:tcPr>
                <w:p>
                  <w:pPr>
                    <w:jc w:val="center"/>
                    <w:rPr>
                      <w:bCs/>
                      <w:color w:val="000000"/>
                      <w:sz w:val="21"/>
                      <w:szCs w:val="21"/>
                    </w:rPr>
                  </w:pPr>
                  <w:r>
                    <w:rPr>
                      <w:bCs/>
                      <w:color w:val="000000"/>
                      <w:sz w:val="21"/>
                      <w:szCs w:val="21"/>
                    </w:rPr>
                    <w:t>400台手术</w:t>
                  </w:r>
                </w:p>
              </w:tc>
              <w:tc>
                <w:tcPr>
                  <w:tcW w:w="2234" w:type="dxa"/>
                  <w:tcBorders>
                    <w:top w:val="single" w:color="auto" w:sz="12" w:space="0"/>
                  </w:tcBorders>
                  <w:shd w:val="clear" w:color="auto" w:fill="auto"/>
                </w:tcPr>
                <w:p>
                  <w:pPr>
                    <w:jc w:val="center"/>
                    <w:rPr>
                      <w:bCs/>
                      <w:color w:val="000000"/>
                      <w:sz w:val="21"/>
                      <w:szCs w:val="21"/>
                    </w:rPr>
                  </w:pPr>
                  <w:r>
                    <w:rPr>
                      <w:bCs/>
                      <w:color w:val="000000"/>
                      <w:sz w:val="21"/>
                      <w:szCs w:val="21"/>
                    </w:rPr>
                    <w:t>6.7h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14" w:type="dxa"/>
                  <w:shd w:val="clear" w:color="auto" w:fill="auto"/>
                </w:tcPr>
                <w:p>
                  <w:pPr>
                    <w:jc w:val="center"/>
                    <w:rPr>
                      <w:bCs/>
                      <w:color w:val="000000"/>
                      <w:sz w:val="21"/>
                      <w:szCs w:val="21"/>
                    </w:rPr>
                  </w:pPr>
                  <w:r>
                    <w:rPr>
                      <w:bCs/>
                      <w:color w:val="000000"/>
                      <w:sz w:val="21"/>
                      <w:szCs w:val="21"/>
                    </w:rPr>
                    <w:t>透视</w:t>
                  </w:r>
                </w:p>
              </w:tc>
              <w:tc>
                <w:tcPr>
                  <w:tcW w:w="2059" w:type="dxa"/>
                  <w:shd w:val="clear" w:color="auto" w:fill="auto"/>
                </w:tcPr>
                <w:p>
                  <w:pPr>
                    <w:jc w:val="center"/>
                    <w:rPr>
                      <w:bCs/>
                      <w:color w:val="000000"/>
                      <w:sz w:val="21"/>
                      <w:szCs w:val="21"/>
                    </w:rPr>
                  </w:pPr>
                  <w:r>
                    <w:rPr>
                      <w:bCs/>
                      <w:color w:val="000000"/>
                      <w:sz w:val="21"/>
                      <w:szCs w:val="21"/>
                    </w:rPr>
                    <w:t>14min</w:t>
                  </w:r>
                </w:p>
              </w:tc>
              <w:tc>
                <w:tcPr>
                  <w:tcW w:w="2059" w:type="dxa"/>
                  <w:shd w:val="clear" w:color="auto" w:fill="auto"/>
                </w:tcPr>
                <w:p>
                  <w:pPr>
                    <w:jc w:val="center"/>
                    <w:rPr>
                      <w:bCs/>
                      <w:color w:val="000000"/>
                      <w:sz w:val="21"/>
                      <w:szCs w:val="21"/>
                    </w:rPr>
                  </w:pPr>
                  <w:r>
                    <w:rPr>
                      <w:bCs/>
                      <w:color w:val="000000"/>
                      <w:sz w:val="21"/>
                      <w:szCs w:val="21"/>
                    </w:rPr>
                    <w:t>400台手术</w:t>
                  </w:r>
                </w:p>
              </w:tc>
              <w:tc>
                <w:tcPr>
                  <w:tcW w:w="2234" w:type="dxa"/>
                  <w:shd w:val="clear" w:color="auto" w:fill="auto"/>
                </w:tcPr>
                <w:p>
                  <w:pPr>
                    <w:jc w:val="center"/>
                    <w:rPr>
                      <w:bCs/>
                      <w:color w:val="000000"/>
                      <w:sz w:val="21"/>
                      <w:szCs w:val="21"/>
                    </w:rPr>
                  </w:pPr>
                  <w:r>
                    <w:rPr>
                      <w:bCs/>
                      <w:color w:val="000000"/>
                      <w:sz w:val="21"/>
                    </w:rPr>
                    <w:t>93.3</w:t>
                  </w:r>
                  <w:r>
                    <w:rPr>
                      <w:bCs/>
                      <w:color w:val="000000"/>
                      <w:sz w:val="21"/>
                      <w:szCs w:val="21"/>
                    </w:rPr>
                    <w:t>h</w:t>
                  </w:r>
                </w:p>
              </w:tc>
            </w:tr>
          </w:tbl>
          <w:p>
            <w:pPr>
              <w:adjustRightInd w:val="0"/>
              <w:snapToGrid w:val="0"/>
              <w:spacing w:before="167" w:beforeLines="50" w:line="360" w:lineRule="auto"/>
              <w:ind w:firstLine="480" w:firstLineChars="200"/>
              <w:rPr>
                <w:color w:val="000000"/>
              </w:rPr>
            </w:pPr>
            <w:r>
              <w:rPr>
                <w:rFonts w:hint="eastAsia" w:ascii="宋体" w:hAnsi="宋体" w:cs="宋体"/>
                <w:color w:val="000000"/>
              </w:rPr>
              <w:t>②各关注点年附加剂量估算结果</w:t>
            </w:r>
          </w:p>
          <w:p>
            <w:pPr>
              <w:adjustRightInd w:val="0"/>
              <w:snapToGrid w:val="0"/>
              <w:spacing w:before="167" w:beforeLines="50" w:line="360" w:lineRule="auto"/>
              <w:ind w:firstLine="480" w:firstLineChars="200"/>
              <w:rPr>
                <w:color w:val="000000"/>
              </w:rPr>
            </w:pPr>
            <w:r>
              <w:rPr>
                <w:color w:val="000000"/>
              </w:rPr>
              <w:t>根据上述结果，估算运行期DSA手术室</w:t>
            </w:r>
            <w:r>
              <w:rPr>
                <w:rFonts w:hint="eastAsia"/>
                <w:color w:val="000000"/>
              </w:rPr>
              <w:t>防</w:t>
            </w:r>
            <w:r>
              <w:rPr>
                <w:color w:val="000000"/>
              </w:rPr>
              <w:t>护门、观察窗、四周墙</w:t>
            </w:r>
            <w:r>
              <w:rPr>
                <w:rFonts w:hint="eastAsia"/>
                <w:color w:val="000000"/>
              </w:rPr>
              <w:t>体等外表面30cm处及楼上位置处</w:t>
            </w:r>
            <w:r>
              <w:rPr>
                <w:color w:val="000000"/>
              </w:rPr>
              <w:t>人员的年有效剂量</w:t>
            </w:r>
            <w:r>
              <w:rPr>
                <w:rFonts w:hint="eastAsia"/>
                <w:color w:val="000000"/>
              </w:rPr>
              <w:t>估算结果</w:t>
            </w:r>
            <w:r>
              <w:rPr>
                <w:color w:val="000000"/>
              </w:rPr>
              <w:t>见表11-7。</w:t>
            </w:r>
          </w:p>
          <w:p>
            <w:pPr>
              <w:spacing w:line="360" w:lineRule="auto"/>
              <w:jc w:val="center"/>
              <w:rPr>
                <w:b/>
                <w:color w:val="000000"/>
                <w:kern w:val="0"/>
              </w:rPr>
            </w:pPr>
            <w:r>
              <w:rPr>
                <w:b/>
                <w:color w:val="000000"/>
                <w:kern w:val="0"/>
              </w:rPr>
              <w:t xml:space="preserve">表11-7  </w:t>
            </w:r>
            <w:r>
              <w:rPr>
                <w:rFonts w:hint="eastAsia"/>
                <w:b/>
                <w:color w:val="000000"/>
                <w:kern w:val="0"/>
              </w:rPr>
              <w:t>公众年附加剂量估算结果</w:t>
            </w:r>
          </w:p>
          <w:tbl>
            <w:tblPr>
              <w:tblStyle w:val="16"/>
              <w:tblW w:w="876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426"/>
              <w:gridCol w:w="1041"/>
              <w:gridCol w:w="678"/>
              <w:gridCol w:w="1124"/>
              <w:gridCol w:w="832"/>
              <w:gridCol w:w="702"/>
              <w:gridCol w:w="1109"/>
              <w:gridCol w:w="8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99" w:type="dxa"/>
                  <w:gridSpan w:val="2"/>
                  <w:vMerge w:val="restart"/>
                  <w:tcBorders>
                    <w:top w:val="single" w:color="auto" w:sz="12" w:space="0"/>
                  </w:tcBorders>
                  <w:shd w:val="clear" w:color="auto" w:fill="auto"/>
                  <w:vAlign w:val="center"/>
                </w:tcPr>
                <w:p>
                  <w:pPr>
                    <w:snapToGrid w:val="0"/>
                    <w:jc w:val="center"/>
                    <w:rPr>
                      <w:color w:val="000000"/>
                      <w:sz w:val="21"/>
                      <w:szCs w:val="21"/>
                    </w:rPr>
                  </w:pPr>
                  <w:r>
                    <w:rPr>
                      <w:rFonts w:hint="eastAsia"/>
                      <w:color w:val="000000"/>
                      <w:sz w:val="21"/>
                      <w:szCs w:val="21"/>
                    </w:rPr>
                    <w:t>关注点位置描述</w:t>
                  </w:r>
                </w:p>
              </w:tc>
              <w:tc>
                <w:tcPr>
                  <w:tcW w:w="1719" w:type="dxa"/>
                  <w:gridSpan w:val="2"/>
                  <w:tcBorders>
                    <w:top w:val="single" w:color="auto" w:sz="12" w:space="0"/>
                    <w:bottom w:val="single" w:color="auto" w:sz="12" w:space="0"/>
                  </w:tcBorders>
                  <w:shd w:val="clear" w:color="auto" w:fill="auto"/>
                  <w:vAlign w:val="center"/>
                </w:tcPr>
                <w:p>
                  <w:pPr>
                    <w:snapToGrid w:val="0"/>
                    <w:jc w:val="center"/>
                    <w:rPr>
                      <w:color w:val="000000"/>
                      <w:sz w:val="21"/>
                      <w:szCs w:val="21"/>
                    </w:rPr>
                  </w:pPr>
                  <w:r>
                    <w:rPr>
                      <w:rFonts w:hint="eastAsia"/>
                      <w:color w:val="000000"/>
                      <w:sz w:val="21"/>
                      <w:szCs w:val="21"/>
                    </w:rPr>
                    <w:t>采集</w:t>
                  </w:r>
                  <w:r>
                    <w:rPr>
                      <w:color w:val="000000"/>
                      <w:sz w:val="21"/>
                      <w:szCs w:val="21"/>
                    </w:rPr>
                    <w:t>状态</w:t>
                  </w:r>
                </w:p>
              </w:tc>
              <w:tc>
                <w:tcPr>
                  <w:tcW w:w="1956" w:type="dxa"/>
                  <w:gridSpan w:val="2"/>
                  <w:tcBorders>
                    <w:top w:val="single" w:color="auto" w:sz="12" w:space="0"/>
                    <w:bottom w:val="single" w:color="auto" w:sz="12" w:space="0"/>
                  </w:tcBorders>
                  <w:shd w:val="clear" w:color="auto" w:fill="auto"/>
                  <w:vAlign w:val="center"/>
                </w:tcPr>
                <w:p>
                  <w:pPr>
                    <w:snapToGrid w:val="0"/>
                    <w:jc w:val="center"/>
                    <w:rPr>
                      <w:color w:val="000000"/>
                      <w:sz w:val="21"/>
                      <w:szCs w:val="21"/>
                    </w:rPr>
                  </w:pPr>
                  <w:r>
                    <w:rPr>
                      <w:color w:val="000000"/>
                      <w:sz w:val="21"/>
                      <w:szCs w:val="21"/>
                    </w:rPr>
                    <w:t>透视状态</w:t>
                  </w:r>
                </w:p>
              </w:tc>
              <w:tc>
                <w:tcPr>
                  <w:tcW w:w="702" w:type="dxa"/>
                  <w:vMerge w:val="restart"/>
                  <w:tcBorders>
                    <w:top w:val="single" w:color="auto" w:sz="12" w:space="0"/>
                    <w:right w:val="single" w:color="auto" w:sz="4" w:space="0"/>
                  </w:tcBorders>
                  <w:shd w:val="clear" w:color="auto" w:fill="auto"/>
                  <w:vAlign w:val="center"/>
                </w:tcPr>
                <w:p>
                  <w:pPr>
                    <w:snapToGrid w:val="0"/>
                    <w:jc w:val="center"/>
                    <w:rPr>
                      <w:color w:val="000000"/>
                      <w:sz w:val="21"/>
                      <w:szCs w:val="21"/>
                    </w:rPr>
                  </w:pPr>
                  <w:r>
                    <w:rPr>
                      <w:rFonts w:hint="eastAsia"/>
                      <w:color w:val="000000"/>
                      <w:sz w:val="21"/>
                      <w:szCs w:val="21"/>
                    </w:rPr>
                    <w:t>人员居留因子</w:t>
                  </w:r>
                </w:p>
              </w:tc>
              <w:tc>
                <w:tcPr>
                  <w:tcW w:w="1109" w:type="dxa"/>
                  <w:vMerge w:val="restart"/>
                  <w:tcBorders>
                    <w:top w:val="single" w:color="auto" w:sz="12" w:space="0"/>
                    <w:left w:val="single" w:color="auto" w:sz="4" w:space="0"/>
                  </w:tcBorders>
                  <w:shd w:val="clear" w:color="auto" w:fill="auto"/>
                  <w:vAlign w:val="center"/>
                </w:tcPr>
                <w:p>
                  <w:pPr>
                    <w:snapToGrid w:val="0"/>
                    <w:jc w:val="center"/>
                    <w:rPr>
                      <w:color w:val="000000"/>
                      <w:sz w:val="21"/>
                      <w:szCs w:val="21"/>
                    </w:rPr>
                  </w:pPr>
                  <w:r>
                    <w:rPr>
                      <w:color w:val="000000"/>
                      <w:sz w:val="21"/>
                      <w:szCs w:val="21"/>
                    </w:rPr>
                    <w:t>年附</w:t>
                  </w:r>
                  <w:r>
                    <w:rPr>
                      <w:rFonts w:hint="eastAsia"/>
                      <w:color w:val="000000"/>
                      <w:sz w:val="21"/>
                      <w:szCs w:val="21"/>
                    </w:rPr>
                    <w:t>加</w:t>
                  </w:r>
                  <w:r>
                    <w:rPr>
                      <w:color w:val="000000"/>
                      <w:sz w:val="21"/>
                      <w:szCs w:val="21"/>
                    </w:rPr>
                    <w:t>有效剂量</w:t>
                  </w:r>
                </w:p>
              </w:tc>
              <w:tc>
                <w:tcPr>
                  <w:tcW w:w="883" w:type="dxa"/>
                  <w:vMerge w:val="restart"/>
                  <w:tcBorders>
                    <w:top w:val="single" w:color="auto" w:sz="12" w:space="0"/>
                    <w:left w:val="single" w:color="auto" w:sz="4" w:space="0"/>
                  </w:tcBorders>
                  <w:shd w:val="clear" w:color="auto" w:fill="auto"/>
                  <w:vAlign w:val="center"/>
                </w:tcPr>
                <w:p>
                  <w:pPr>
                    <w:snapToGrid w:val="0"/>
                    <w:jc w:val="center"/>
                    <w:rPr>
                      <w:color w:val="000000"/>
                      <w:sz w:val="21"/>
                      <w:szCs w:val="21"/>
                    </w:rPr>
                  </w:pPr>
                  <w:r>
                    <w:rPr>
                      <w:rFonts w:hint="eastAsia"/>
                      <w:color w:val="000000"/>
                      <w:sz w:val="21"/>
                      <w:szCs w:val="21"/>
                    </w:rPr>
                    <w:t>年剂量约束值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2399" w:type="dxa"/>
                  <w:gridSpan w:val="2"/>
                  <w:vMerge w:val="continue"/>
                  <w:tcBorders>
                    <w:bottom w:val="single" w:color="auto" w:sz="12" w:space="0"/>
                  </w:tcBorders>
                  <w:shd w:val="clear" w:color="auto" w:fill="auto"/>
                  <w:vAlign w:val="center"/>
                </w:tcPr>
                <w:p>
                  <w:pPr>
                    <w:snapToGrid w:val="0"/>
                    <w:jc w:val="center"/>
                    <w:rPr>
                      <w:color w:val="000000"/>
                      <w:sz w:val="21"/>
                      <w:szCs w:val="21"/>
                    </w:rPr>
                  </w:pPr>
                </w:p>
              </w:tc>
              <w:tc>
                <w:tcPr>
                  <w:tcW w:w="1041" w:type="dxa"/>
                  <w:tcBorders>
                    <w:top w:val="single" w:color="auto" w:sz="12" w:space="0"/>
                    <w:bottom w:val="single" w:color="auto" w:sz="12" w:space="0"/>
                  </w:tcBorders>
                  <w:shd w:val="clear" w:color="auto" w:fill="auto"/>
                  <w:vAlign w:val="center"/>
                </w:tcPr>
                <w:p>
                  <w:pPr>
                    <w:snapToGrid w:val="0"/>
                    <w:jc w:val="center"/>
                    <w:rPr>
                      <w:color w:val="000000"/>
                      <w:sz w:val="21"/>
                      <w:szCs w:val="21"/>
                    </w:rPr>
                  </w:pPr>
                  <w:r>
                    <w:rPr>
                      <w:color w:val="000000"/>
                      <w:sz w:val="21"/>
                      <w:szCs w:val="21"/>
                    </w:rPr>
                    <w:t>总有效剂量率H</w:t>
                  </w:r>
                  <w:r>
                    <w:rPr>
                      <w:color w:val="000000"/>
                      <w:sz w:val="21"/>
                      <w:szCs w:val="21"/>
                      <w:vertAlign w:val="subscript"/>
                    </w:rPr>
                    <w:t>R</w:t>
                  </w:r>
                </w:p>
              </w:tc>
              <w:tc>
                <w:tcPr>
                  <w:tcW w:w="678" w:type="dxa"/>
                  <w:tcBorders>
                    <w:top w:val="single" w:color="auto" w:sz="12" w:space="0"/>
                    <w:bottom w:val="single" w:color="auto" w:sz="12" w:space="0"/>
                  </w:tcBorders>
                  <w:shd w:val="clear" w:color="auto" w:fill="auto"/>
                  <w:vAlign w:val="center"/>
                </w:tcPr>
                <w:p>
                  <w:pPr>
                    <w:snapToGrid w:val="0"/>
                    <w:jc w:val="center"/>
                    <w:rPr>
                      <w:color w:val="000000"/>
                      <w:sz w:val="21"/>
                      <w:szCs w:val="21"/>
                    </w:rPr>
                  </w:pPr>
                  <w:r>
                    <w:rPr>
                      <w:color w:val="000000"/>
                      <w:sz w:val="21"/>
                      <w:szCs w:val="21"/>
                    </w:rPr>
                    <w:t>年曝光时间</w:t>
                  </w:r>
                </w:p>
              </w:tc>
              <w:tc>
                <w:tcPr>
                  <w:tcW w:w="1124" w:type="dxa"/>
                  <w:tcBorders>
                    <w:top w:val="single" w:color="auto" w:sz="12" w:space="0"/>
                    <w:bottom w:val="single" w:color="auto" w:sz="12" w:space="0"/>
                  </w:tcBorders>
                  <w:shd w:val="clear" w:color="auto" w:fill="auto"/>
                  <w:vAlign w:val="center"/>
                </w:tcPr>
                <w:p>
                  <w:pPr>
                    <w:snapToGrid w:val="0"/>
                    <w:jc w:val="center"/>
                    <w:rPr>
                      <w:color w:val="000000"/>
                      <w:sz w:val="21"/>
                      <w:szCs w:val="21"/>
                    </w:rPr>
                  </w:pPr>
                  <w:r>
                    <w:rPr>
                      <w:color w:val="000000"/>
                      <w:sz w:val="21"/>
                      <w:szCs w:val="21"/>
                    </w:rPr>
                    <w:t>总有效剂量率H</w:t>
                  </w:r>
                  <w:r>
                    <w:rPr>
                      <w:color w:val="000000"/>
                      <w:sz w:val="21"/>
                      <w:szCs w:val="21"/>
                      <w:vertAlign w:val="subscript"/>
                    </w:rPr>
                    <w:t>R</w:t>
                  </w:r>
                </w:p>
              </w:tc>
              <w:tc>
                <w:tcPr>
                  <w:tcW w:w="832" w:type="dxa"/>
                  <w:tcBorders>
                    <w:top w:val="single" w:color="auto" w:sz="12" w:space="0"/>
                    <w:bottom w:val="single" w:color="auto" w:sz="12" w:space="0"/>
                  </w:tcBorders>
                  <w:shd w:val="clear" w:color="auto" w:fill="auto"/>
                  <w:vAlign w:val="center"/>
                </w:tcPr>
                <w:p>
                  <w:pPr>
                    <w:snapToGrid w:val="0"/>
                    <w:jc w:val="center"/>
                    <w:rPr>
                      <w:color w:val="000000"/>
                      <w:sz w:val="21"/>
                      <w:szCs w:val="21"/>
                    </w:rPr>
                  </w:pPr>
                  <w:r>
                    <w:rPr>
                      <w:color w:val="000000"/>
                      <w:sz w:val="21"/>
                      <w:szCs w:val="21"/>
                    </w:rPr>
                    <w:t>年曝光时间</w:t>
                  </w:r>
                </w:p>
              </w:tc>
              <w:tc>
                <w:tcPr>
                  <w:tcW w:w="702" w:type="dxa"/>
                  <w:vMerge w:val="continue"/>
                  <w:tcBorders>
                    <w:bottom w:val="single" w:color="auto" w:sz="12" w:space="0"/>
                    <w:right w:val="single" w:color="auto" w:sz="4" w:space="0"/>
                  </w:tcBorders>
                  <w:vAlign w:val="center"/>
                </w:tcPr>
                <w:p>
                  <w:pPr>
                    <w:snapToGrid w:val="0"/>
                    <w:jc w:val="center"/>
                    <w:rPr>
                      <w:color w:val="000000"/>
                      <w:sz w:val="21"/>
                      <w:szCs w:val="21"/>
                    </w:rPr>
                  </w:pPr>
                </w:p>
              </w:tc>
              <w:tc>
                <w:tcPr>
                  <w:tcW w:w="1109" w:type="dxa"/>
                  <w:vMerge w:val="continue"/>
                  <w:tcBorders>
                    <w:left w:val="single" w:color="auto" w:sz="4" w:space="0"/>
                    <w:bottom w:val="single" w:color="auto" w:sz="12" w:space="0"/>
                  </w:tcBorders>
                  <w:vAlign w:val="center"/>
                </w:tcPr>
                <w:p>
                  <w:pPr>
                    <w:snapToGrid w:val="0"/>
                    <w:jc w:val="center"/>
                    <w:rPr>
                      <w:color w:val="000000"/>
                      <w:sz w:val="21"/>
                      <w:szCs w:val="21"/>
                    </w:rPr>
                  </w:pPr>
                </w:p>
              </w:tc>
              <w:tc>
                <w:tcPr>
                  <w:tcW w:w="883" w:type="dxa"/>
                  <w:vMerge w:val="continue"/>
                  <w:tcBorders>
                    <w:left w:val="single" w:color="auto" w:sz="4" w:space="0"/>
                    <w:bottom w:val="single" w:color="auto" w:sz="12" w:space="0"/>
                  </w:tcBorders>
                  <w:vAlign w:val="center"/>
                </w:tcPr>
                <w:p>
                  <w:pPr>
                    <w:snapToGrid w:val="0"/>
                    <w:jc w:val="center"/>
                    <w:rPr>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973" w:type="dxa"/>
                  <w:tcBorders>
                    <w:top w:val="single" w:color="auto" w:sz="12" w:space="0"/>
                  </w:tcBorders>
                  <w:shd w:val="clear" w:color="auto" w:fill="auto"/>
                  <w:vAlign w:val="center"/>
                </w:tcPr>
                <w:p>
                  <w:pPr>
                    <w:snapToGrid w:val="0"/>
                    <w:jc w:val="center"/>
                    <w:rPr>
                      <w:color w:val="000000"/>
                      <w:sz w:val="21"/>
                      <w:szCs w:val="21"/>
                    </w:rPr>
                  </w:pPr>
                  <w:r>
                    <w:rPr>
                      <w:rFonts w:hint="eastAsia"/>
                      <w:color w:val="000000"/>
                      <w:sz w:val="21"/>
                      <w:szCs w:val="21"/>
                    </w:rPr>
                    <w:t>单位</w:t>
                  </w:r>
                </w:p>
              </w:tc>
              <w:tc>
                <w:tcPr>
                  <w:tcW w:w="426" w:type="dxa"/>
                  <w:tcBorders>
                    <w:top w:val="single" w:color="auto" w:sz="12" w:space="0"/>
                  </w:tcBorders>
                  <w:shd w:val="clear" w:color="auto" w:fill="auto"/>
                  <w:vAlign w:val="center"/>
                </w:tcPr>
                <w:p>
                  <w:pPr>
                    <w:snapToGrid w:val="0"/>
                    <w:jc w:val="center"/>
                    <w:rPr>
                      <w:color w:val="000000"/>
                      <w:sz w:val="21"/>
                      <w:szCs w:val="21"/>
                    </w:rPr>
                  </w:pPr>
                  <w:r>
                    <w:rPr>
                      <w:rFonts w:hint="eastAsia"/>
                      <w:color w:val="000000"/>
                      <w:sz w:val="21"/>
                      <w:szCs w:val="21"/>
                    </w:rPr>
                    <w:t>/</w:t>
                  </w:r>
                </w:p>
              </w:tc>
              <w:tc>
                <w:tcPr>
                  <w:tcW w:w="1041" w:type="dxa"/>
                  <w:tcBorders>
                    <w:top w:val="single" w:color="auto" w:sz="12" w:space="0"/>
                  </w:tcBorders>
                  <w:shd w:val="clear" w:color="auto" w:fill="auto"/>
                  <w:vAlign w:val="center"/>
                </w:tcPr>
                <w:p>
                  <w:pPr>
                    <w:snapToGrid w:val="0"/>
                    <w:jc w:val="center"/>
                    <w:rPr>
                      <w:color w:val="000000"/>
                      <w:sz w:val="21"/>
                      <w:szCs w:val="21"/>
                    </w:rPr>
                  </w:pPr>
                  <w:r>
                    <w:rPr>
                      <w:color w:val="000000"/>
                      <w:sz w:val="21"/>
                      <w:szCs w:val="21"/>
                    </w:rPr>
                    <w:t>µSv/h</w:t>
                  </w:r>
                </w:p>
              </w:tc>
              <w:tc>
                <w:tcPr>
                  <w:tcW w:w="678" w:type="dxa"/>
                  <w:tcBorders>
                    <w:top w:val="single" w:color="auto" w:sz="12" w:space="0"/>
                  </w:tcBorders>
                  <w:shd w:val="clear" w:color="auto" w:fill="auto"/>
                  <w:vAlign w:val="center"/>
                </w:tcPr>
                <w:p>
                  <w:pPr>
                    <w:snapToGrid w:val="0"/>
                    <w:jc w:val="center"/>
                    <w:rPr>
                      <w:color w:val="000000"/>
                      <w:sz w:val="21"/>
                      <w:szCs w:val="21"/>
                    </w:rPr>
                  </w:pPr>
                  <w:r>
                    <w:rPr>
                      <w:color w:val="000000"/>
                      <w:sz w:val="21"/>
                      <w:szCs w:val="21"/>
                    </w:rPr>
                    <w:t>h/a</w:t>
                  </w:r>
                </w:p>
              </w:tc>
              <w:tc>
                <w:tcPr>
                  <w:tcW w:w="1124" w:type="dxa"/>
                  <w:tcBorders>
                    <w:top w:val="single" w:color="auto" w:sz="12" w:space="0"/>
                  </w:tcBorders>
                  <w:shd w:val="clear" w:color="auto" w:fill="auto"/>
                  <w:vAlign w:val="center"/>
                </w:tcPr>
                <w:p>
                  <w:pPr>
                    <w:snapToGrid w:val="0"/>
                    <w:jc w:val="center"/>
                    <w:rPr>
                      <w:color w:val="000000"/>
                      <w:sz w:val="21"/>
                      <w:szCs w:val="21"/>
                    </w:rPr>
                  </w:pPr>
                  <w:r>
                    <w:rPr>
                      <w:color w:val="000000"/>
                      <w:sz w:val="21"/>
                      <w:szCs w:val="21"/>
                    </w:rPr>
                    <w:t>µSv/h</w:t>
                  </w:r>
                </w:p>
              </w:tc>
              <w:tc>
                <w:tcPr>
                  <w:tcW w:w="832" w:type="dxa"/>
                  <w:tcBorders>
                    <w:top w:val="single" w:color="auto" w:sz="12" w:space="0"/>
                  </w:tcBorders>
                  <w:shd w:val="clear" w:color="auto" w:fill="auto"/>
                  <w:vAlign w:val="center"/>
                </w:tcPr>
                <w:p>
                  <w:pPr>
                    <w:snapToGrid w:val="0"/>
                    <w:jc w:val="center"/>
                    <w:rPr>
                      <w:color w:val="000000"/>
                      <w:sz w:val="21"/>
                      <w:szCs w:val="21"/>
                    </w:rPr>
                  </w:pPr>
                  <w:r>
                    <w:rPr>
                      <w:color w:val="000000"/>
                      <w:sz w:val="21"/>
                      <w:szCs w:val="21"/>
                    </w:rPr>
                    <w:t>h/a</w:t>
                  </w:r>
                </w:p>
              </w:tc>
              <w:tc>
                <w:tcPr>
                  <w:tcW w:w="702" w:type="dxa"/>
                  <w:tcBorders>
                    <w:top w:val="single" w:color="auto" w:sz="12" w:space="0"/>
                    <w:right w:val="single" w:color="auto" w:sz="4" w:space="0"/>
                  </w:tcBorders>
                  <w:vAlign w:val="center"/>
                </w:tcPr>
                <w:p>
                  <w:pPr>
                    <w:snapToGrid w:val="0"/>
                    <w:jc w:val="center"/>
                    <w:rPr>
                      <w:color w:val="000000"/>
                      <w:sz w:val="21"/>
                      <w:szCs w:val="21"/>
                    </w:rPr>
                  </w:pPr>
                  <w:r>
                    <w:rPr>
                      <w:rFonts w:hint="eastAsia"/>
                      <w:color w:val="000000"/>
                      <w:sz w:val="21"/>
                      <w:szCs w:val="21"/>
                    </w:rPr>
                    <w:t>/</w:t>
                  </w:r>
                </w:p>
              </w:tc>
              <w:tc>
                <w:tcPr>
                  <w:tcW w:w="1109" w:type="dxa"/>
                  <w:tcBorders>
                    <w:top w:val="single" w:color="auto" w:sz="12" w:space="0"/>
                    <w:left w:val="single" w:color="auto" w:sz="4" w:space="0"/>
                  </w:tcBorders>
                  <w:vAlign w:val="center"/>
                </w:tcPr>
                <w:p>
                  <w:pPr>
                    <w:snapToGrid w:val="0"/>
                    <w:jc w:val="center"/>
                    <w:rPr>
                      <w:color w:val="000000"/>
                      <w:sz w:val="21"/>
                      <w:szCs w:val="21"/>
                    </w:rPr>
                  </w:pPr>
                  <w:r>
                    <w:rPr>
                      <w:color w:val="000000"/>
                      <w:sz w:val="21"/>
                      <w:szCs w:val="21"/>
                    </w:rPr>
                    <w:t>mSv/a</w:t>
                  </w:r>
                </w:p>
              </w:tc>
              <w:tc>
                <w:tcPr>
                  <w:tcW w:w="883" w:type="dxa"/>
                  <w:tcBorders>
                    <w:top w:val="single" w:color="auto" w:sz="12" w:space="0"/>
                    <w:left w:val="single" w:color="auto" w:sz="4" w:space="0"/>
                  </w:tcBorders>
                  <w:vAlign w:val="center"/>
                </w:tcPr>
                <w:p>
                  <w:pPr>
                    <w:snapToGrid w:val="0"/>
                    <w:jc w:val="center"/>
                    <w:rPr>
                      <w:color w:val="000000"/>
                      <w:sz w:val="21"/>
                      <w:szCs w:val="21"/>
                    </w:rPr>
                  </w:pPr>
                  <w:r>
                    <w:rPr>
                      <w:color w:val="000000"/>
                      <w:sz w:val="21"/>
                      <w:szCs w:val="21"/>
                    </w:rPr>
                    <w:t>mSv/a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973"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介入手术室北墙外谈话间、医护办内人员</w:t>
                  </w:r>
                </w:p>
              </w:tc>
              <w:tc>
                <w:tcPr>
                  <w:tcW w:w="426" w:type="dxa"/>
                  <w:vMerge w:val="restart"/>
                  <w:shd w:val="clear" w:color="auto" w:fill="auto"/>
                  <w:vAlign w:val="center"/>
                </w:tcPr>
                <w:p>
                  <w:pPr>
                    <w:jc w:val="center"/>
                    <w:rPr>
                      <w:color w:val="000000"/>
                      <w:sz w:val="21"/>
                      <w:szCs w:val="21"/>
                    </w:rPr>
                  </w:pPr>
                  <w:r>
                    <w:rPr>
                      <w:rFonts w:hint="eastAsia"/>
                      <w:color w:val="000000"/>
                      <w:sz w:val="21"/>
                      <w:szCs w:val="21"/>
                    </w:rPr>
                    <w:t>公众</w:t>
                  </w:r>
                </w:p>
              </w:tc>
              <w:tc>
                <w:tcPr>
                  <w:tcW w:w="1041" w:type="dxa"/>
                  <w:shd w:val="clear" w:color="auto" w:fill="auto"/>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1.84E-01</w:t>
                  </w:r>
                </w:p>
              </w:tc>
              <w:tc>
                <w:tcPr>
                  <w:tcW w:w="678" w:type="dxa"/>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.7</w:t>
                  </w:r>
                </w:p>
              </w:tc>
              <w:tc>
                <w:tcPr>
                  <w:tcW w:w="1124" w:type="dxa"/>
                  <w:shd w:val="clear" w:color="auto" w:fill="auto"/>
                  <w:vAlign w:val="center"/>
                </w:tcPr>
                <w:p>
                  <w:pPr>
                    <w:jc w:val="center"/>
                    <w:rPr>
                      <w:color w:val="000000"/>
                      <w:sz w:val="21"/>
                      <w:szCs w:val="21"/>
                    </w:rPr>
                  </w:pPr>
                  <w:r>
                    <w:rPr>
                      <w:color w:val="000000"/>
                      <w:sz w:val="21"/>
                      <w:szCs w:val="21"/>
                    </w:rPr>
                    <w:t>5.88E-03</w:t>
                  </w:r>
                </w:p>
              </w:tc>
              <w:tc>
                <w:tcPr>
                  <w:tcW w:w="832" w:type="dxa"/>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r>
                    <w:rPr>
                      <w:color w:val="000000" w:themeColor="text1"/>
                      <w:sz w:val="21"/>
                      <w:szCs w:val="21"/>
                      <w14:textFill>
                        <w14:solidFill>
                          <w14:schemeClr w14:val="tx1"/>
                        </w14:solidFill>
                      </w14:textFill>
                    </w:rPr>
                    <w:t>3.3</w:t>
                  </w:r>
                </w:p>
              </w:tc>
              <w:tc>
                <w:tcPr>
                  <w:tcW w:w="702"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109" w:type="dxa"/>
                  <w:vAlign w:val="center"/>
                </w:tcPr>
                <w:p>
                  <w:pPr>
                    <w:jc w:val="center"/>
                    <w:rPr>
                      <w:color w:val="00B0F0"/>
                      <w:sz w:val="21"/>
                      <w:szCs w:val="21"/>
                    </w:rPr>
                  </w:pPr>
                  <w:r>
                    <w:rPr>
                      <w:sz w:val="21"/>
                      <w:szCs w:val="21"/>
                    </w:rPr>
                    <w:t>1.78E-03</w:t>
                  </w:r>
                </w:p>
              </w:tc>
              <w:tc>
                <w:tcPr>
                  <w:tcW w:w="883" w:type="dxa"/>
                  <w:vAlign w:val="center"/>
                </w:tcPr>
                <w:p>
                  <w:pPr>
                    <w:jc w:val="center"/>
                    <w:rPr>
                      <w:color w:val="000000"/>
                      <w:sz w:val="21"/>
                      <w:szCs w:val="21"/>
                    </w:rPr>
                  </w:pPr>
                  <w:r>
                    <w:rPr>
                      <w:rFonts w:hint="eastAsia"/>
                      <w:color w:val="000000"/>
                      <w:sz w:val="21"/>
                      <w:szCs w:val="21"/>
                    </w:rPr>
                    <w:t>0</w:t>
                  </w:r>
                  <w:r>
                    <w:rPr>
                      <w:color w:val="000000"/>
                      <w:sz w:val="21"/>
                      <w:szCs w:val="21"/>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73"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介入手术室北墙外</w:t>
                  </w:r>
                  <w:r>
                    <w:rPr>
                      <w:color w:val="000000" w:themeColor="text1"/>
                      <w:sz w:val="21"/>
                      <w:szCs w:val="21"/>
                      <w14:textFill>
                        <w14:solidFill>
                          <w14:schemeClr w14:val="tx1"/>
                        </w14:solidFill>
                      </w14:textFill>
                    </w:rPr>
                    <w:t>CT</w:t>
                  </w:r>
                  <w:r>
                    <w:rPr>
                      <w:rFonts w:hint="eastAsia"/>
                      <w:color w:val="000000" w:themeColor="text1"/>
                      <w:sz w:val="21"/>
                      <w:szCs w:val="21"/>
                      <w14:textFill>
                        <w14:solidFill>
                          <w14:schemeClr w14:val="tx1"/>
                        </w14:solidFill>
                      </w14:textFill>
                    </w:rPr>
                    <w:t>机房内停留人员</w:t>
                  </w:r>
                </w:p>
              </w:tc>
              <w:tc>
                <w:tcPr>
                  <w:tcW w:w="426" w:type="dxa"/>
                  <w:vMerge w:val="continue"/>
                  <w:shd w:val="clear" w:color="auto" w:fill="auto"/>
                  <w:vAlign w:val="center"/>
                </w:tcPr>
                <w:p>
                  <w:pPr>
                    <w:jc w:val="center"/>
                    <w:rPr>
                      <w:color w:val="000000"/>
                      <w:sz w:val="21"/>
                      <w:szCs w:val="21"/>
                    </w:rPr>
                  </w:pPr>
                </w:p>
              </w:tc>
              <w:tc>
                <w:tcPr>
                  <w:tcW w:w="1041" w:type="dxa"/>
                  <w:shd w:val="clear" w:color="auto" w:fill="auto"/>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1.73E-01</w:t>
                  </w:r>
                </w:p>
              </w:tc>
              <w:tc>
                <w:tcPr>
                  <w:tcW w:w="678" w:type="dxa"/>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.7</w:t>
                  </w:r>
                </w:p>
              </w:tc>
              <w:tc>
                <w:tcPr>
                  <w:tcW w:w="1124" w:type="dxa"/>
                  <w:shd w:val="clear" w:color="auto" w:fill="auto"/>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5.52E-03</w:t>
                  </w:r>
                </w:p>
              </w:tc>
              <w:tc>
                <w:tcPr>
                  <w:tcW w:w="832" w:type="dxa"/>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r>
                    <w:rPr>
                      <w:color w:val="000000" w:themeColor="text1"/>
                      <w:sz w:val="21"/>
                      <w:szCs w:val="21"/>
                      <w14:textFill>
                        <w14:solidFill>
                          <w14:schemeClr w14:val="tx1"/>
                        </w14:solidFill>
                      </w14:textFill>
                    </w:rPr>
                    <w:t>3.3</w:t>
                  </w:r>
                </w:p>
              </w:tc>
              <w:tc>
                <w:tcPr>
                  <w:tcW w:w="702"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/2</w:t>
                  </w:r>
                </w:p>
              </w:tc>
              <w:tc>
                <w:tcPr>
                  <w:tcW w:w="1109" w:type="dxa"/>
                  <w:vAlign w:val="center"/>
                </w:tcPr>
                <w:p>
                  <w:pPr>
                    <w:jc w:val="center"/>
                    <w:rPr>
                      <w:color w:val="00B0F0"/>
                      <w:kern w:val="0"/>
                      <w:sz w:val="21"/>
                      <w:szCs w:val="21"/>
                    </w:rPr>
                  </w:pPr>
                  <w:r>
                    <w:rPr>
                      <w:sz w:val="21"/>
                      <w:szCs w:val="21"/>
                    </w:rPr>
                    <w:t>8.36E-04</w:t>
                  </w:r>
                </w:p>
              </w:tc>
              <w:tc>
                <w:tcPr>
                  <w:tcW w:w="883" w:type="dxa"/>
                  <w:vAlign w:val="center"/>
                </w:tcPr>
                <w:p>
                  <w:pPr>
                    <w:jc w:val="center"/>
                    <w:rPr>
                      <w:color w:val="000000"/>
                      <w:kern w:val="0"/>
                      <w:sz w:val="21"/>
                      <w:szCs w:val="21"/>
                    </w:rPr>
                  </w:pPr>
                  <w:r>
                    <w:rPr>
                      <w:rFonts w:hint="eastAsia"/>
                      <w:color w:val="000000"/>
                      <w:sz w:val="21"/>
                      <w:szCs w:val="21"/>
                    </w:rPr>
                    <w:t>0</w:t>
                  </w:r>
                  <w:r>
                    <w:rPr>
                      <w:color w:val="000000"/>
                      <w:sz w:val="21"/>
                      <w:szCs w:val="21"/>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73"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介入手术室应急通道门外走廊流动人员</w:t>
                  </w:r>
                </w:p>
              </w:tc>
              <w:tc>
                <w:tcPr>
                  <w:tcW w:w="426" w:type="dxa"/>
                  <w:vMerge w:val="continue"/>
                  <w:shd w:val="clear" w:color="auto" w:fill="auto"/>
                  <w:vAlign w:val="center"/>
                </w:tcPr>
                <w:p>
                  <w:pPr>
                    <w:jc w:val="center"/>
                    <w:rPr>
                      <w:color w:val="000000"/>
                      <w:sz w:val="21"/>
                      <w:szCs w:val="21"/>
                    </w:rPr>
                  </w:pPr>
                </w:p>
              </w:tc>
              <w:tc>
                <w:tcPr>
                  <w:tcW w:w="1041" w:type="dxa"/>
                  <w:shd w:val="clear" w:color="auto" w:fill="auto"/>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1.54E+01</w:t>
                  </w:r>
                </w:p>
              </w:tc>
              <w:tc>
                <w:tcPr>
                  <w:tcW w:w="678" w:type="dxa"/>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.7</w:t>
                  </w:r>
                </w:p>
              </w:tc>
              <w:tc>
                <w:tcPr>
                  <w:tcW w:w="1124" w:type="dxa"/>
                  <w:shd w:val="clear" w:color="auto" w:fill="auto"/>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4.93E-01</w:t>
                  </w:r>
                </w:p>
              </w:tc>
              <w:tc>
                <w:tcPr>
                  <w:tcW w:w="832" w:type="dxa"/>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r>
                    <w:rPr>
                      <w:color w:val="000000" w:themeColor="text1"/>
                      <w:sz w:val="21"/>
                      <w:szCs w:val="21"/>
                      <w14:textFill>
                        <w14:solidFill>
                          <w14:schemeClr w14:val="tx1"/>
                        </w14:solidFill>
                      </w14:textFill>
                    </w:rPr>
                    <w:t>3.3</w:t>
                  </w:r>
                </w:p>
              </w:tc>
              <w:tc>
                <w:tcPr>
                  <w:tcW w:w="702"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/5</w:t>
                  </w:r>
                </w:p>
              </w:tc>
              <w:tc>
                <w:tcPr>
                  <w:tcW w:w="1109" w:type="dxa"/>
                  <w:vAlign w:val="center"/>
                </w:tcPr>
                <w:p>
                  <w:pPr>
                    <w:jc w:val="center"/>
                    <w:rPr>
                      <w:color w:val="00B0F0"/>
                      <w:kern w:val="0"/>
                      <w:sz w:val="21"/>
                      <w:szCs w:val="21"/>
                    </w:rPr>
                  </w:pPr>
                  <w:r>
                    <w:rPr>
                      <w:sz w:val="21"/>
                      <w:szCs w:val="21"/>
                    </w:rPr>
                    <w:t>2.99E-02</w:t>
                  </w:r>
                </w:p>
              </w:tc>
              <w:tc>
                <w:tcPr>
                  <w:tcW w:w="883" w:type="dxa"/>
                  <w:vAlign w:val="center"/>
                </w:tcPr>
                <w:p>
                  <w:pPr>
                    <w:jc w:val="center"/>
                    <w:rPr>
                      <w:color w:val="000000"/>
                      <w:kern w:val="0"/>
                      <w:sz w:val="21"/>
                      <w:szCs w:val="21"/>
                    </w:rPr>
                  </w:pPr>
                  <w:r>
                    <w:rPr>
                      <w:rFonts w:hint="eastAsia"/>
                      <w:color w:val="000000"/>
                      <w:sz w:val="21"/>
                      <w:szCs w:val="21"/>
                    </w:rPr>
                    <w:t>0</w:t>
                  </w:r>
                  <w:r>
                    <w:rPr>
                      <w:color w:val="000000"/>
                      <w:sz w:val="21"/>
                      <w:szCs w:val="21"/>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973"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介入手术室东墙外设备间内人员</w:t>
                  </w:r>
                </w:p>
              </w:tc>
              <w:tc>
                <w:tcPr>
                  <w:tcW w:w="426" w:type="dxa"/>
                  <w:vMerge w:val="continue"/>
                  <w:shd w:val="clear" w:color="auto" w:fill="auto"/>
                  <w:vAlign w:val="center"/>
                </w:tcPr>
                <w:p>
                  <w:pPr>
                    <w:jc w:val="center"/>
                    <w:rPr>
                      <w:color w:val="000000"/>
                      <w:sz w:val="21"/>
                      <w:szCs w:val="21"/>
                    </w:rPr>
                  </w:pPr>
                </w:p>
              </w:tc>
              <w:tc>
                <w:tcPr>
                  <w:tcW w:w="1041" w:type="dxa"/>
                  <w:shd w:val="clear" w:color="auto" w:fill="auto"/>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1.20E-01</w:t>
                  </w:r>
                </w:p>
              </w:tc>
              <w:tc>
                <w:tcPr>
                  <w:tcW w:w="678" w:type="dxa"/>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.7</w:t>
                  </w:r>
                </w:p>
              </w:tc>
              <w:tc>
                <w:tcPr>
                  <w:tcW w:w="1124" w:type="dxa"/>
                  <w:shd w:val="clear" w:color="auto" w:fill="auto"/>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3.83E-03</w:t>
                  </w:r>
                </w:p>
              </w:tc>
              <w:tc>
                <w:tcPr>
                  <w:tcW w:w="832" w:type="dxa"/>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r>
                    <w:rPr>
                      <w:color w:val="000000" w:themeColor="text1"/>
                      <w:sz w:val="21"/>
                      <w:szCs w:val="21"/>
                      <w14:textFill>
                        <w14:solidFill>
                          <w14:schemeClr w14:val="tx1"/>
                        </w14:solidFill>
                      </w14:textFill>
                    </w:rPr>
                    <w:t>3.3</w:t>
                  </w:r>
                </w:p>
              </w:tc>
              <w:tc>
                <w:tcPr>
                  <w:tcW w:w="702"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/16</w:t>
                  </w:r>
                </w:p>
              </w:tc>
              <w:tc>
                <w:tcPr>
                  <w:tcW w:w="1109" w:type="dxa"/>
                  <w:vAlign w:val="center"/>
                </w:tcPr>
                <w:p>
                  <w:pPr>
                    <w:jc w:val="center"/>
                    <w:rPr>
                      <w:color w:val="00B0F0"/>
                      <w:kern w:val="0"/>
                      <w:sz w:val="21"/>
                      <w:szCs w:val="21"/>
                    </w:rPr>
                  </w:pPr>
                  <w:r>
                    <w:rPr>
                      <w:sz w:val="21"/>
                      <w:szCs w:val="21"/>
                    </w:rPr>
                    <w:t>7.24E-05</w:t>
                  </w:r>
                </w:p>
              </w:tc>
              <w:tc>
                <w:tcPr>
                  <w:tcW w:w="883" w:type="dxa"/>
                  <w:vAlign w:val="center"/>
                </w:tcPr>
                <w:p>
                  <w:pPr>
                    <w:jc w:val="center"/>
                    <w:rPr>
                      <w:color w:val="000000"/>
                      <w:kern w:val="0"/>
                      <w:sz w:val="21"/>
                      <w:szCs w:val="21"/>
                    </w:rPr>
                  </w:pPr>
                  <w:r>
                    <w:rPr>
                      <w:rFonts w:hint="eastAsia"/>
                      <w:color w:val="000000"/>
                      <w:sz w:val="21"/>
                      <w:szCs w:val="21"/>
                    </w:rPr>
                    <w:t>0</w:t>
                  </w:r>
                  <w:r>
                    <w:rPr>
                      <w:color w:val="000000"/>
                      <w:sz w:val="21"/>
                      <w:szCs w:val="21"/>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973"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介入手术室南墙外走廊流动人员</w:t>
                  </w:r>
                </w:p>
              </w:tc>
              <w:tc>
                <w:tcPr>
                  <w:tcW w:w="426" w:type="dxa"/>
                  <w:vMerge w:val="continue"/>
                  <w:shd w:val="clear" w:color="auto" w:fill="auto"/>
                  <w:vAlign w:val="center"/>
                </w:tcPr>
                <w:p>
                  <w:pPr>
                    <w:jc w:val="center"/>
                    <w:rPr>
                      <w:color w:val="000000"/>
                      <w:sz w:val="21"/>
                      <w:szCs w:val="21"/>
                    </w:rPr>
                  </w:pPr>
                </w:p>
              </w:tc>
              <w:tc>
                <w:tcPr>
                  <w:tcW w:w="1041" w:type="dxa"/>
                  <w:shd w:val="clear" w:color="auto" w:fill="auto"/>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1.50E+00</w:t>
                  </w:r>
                </w:p>
              </w:tc>
              <w:tc>
                <w:tcPr>
                  <w:tcW w:w="678" w:type="dxa"/>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.7</w:t>
                  </w:r>
                </w:p>
              </w:tc>
              <w:tc>
                <w:tcPr>
                  <w:tcW w:w="1124" w:type="dxa"/>
                  <w:shd w:val="clear" w:color="auto" w:fill="auto"/>
                  <w:vAlign w:val="center"/>
                </w:tcPr>
                <w:p>
                  <w:pPr>
                    <w:ind w:left="-9" w:leftChars="-50" w:right="-72" w:rightChars="-30" w:hanging="111" w:hangingChars="5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4.80E-02</w:t>
                  </w:r>
                </w:p>
              </w:tc>
              <w:tc>
                <w:tcPr>
                  <w:tcW w:w="832" w:type="dxa"/>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r>
                    <w:rPr>
                      <w:color w:val="000000" w:themeColor="text1"/>
                      <w:sz w:val="21"/>
                      <w:szCs w:val="21"/>
                      <w14:textFill>
                        <w14:solidFill>
                          <w14:schemeClr w14:val="tx1"/>
                        </w14:solidFill>
                      </w14:textFill>
                    </w:rPr>
                    <w:t>3.3</w:t>
                  </w:r>
                </w:p>
              </w:tc>
              <w:tc>
                <w:tcPr>
                  <w:tcW w:w="702"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/5</w:t>
                  </w:r>
                </w:p>
              </w:tc>
              <w:tc>
                <w:tcPr>
                  <w:tcW w:w="1109" w:type="dxa"/>
                  <w:vAlign w:val="center"/>
                </w:tcPr>
                <w:p>
                  <w:pPr>
                    <w:jc w:val="center"/>
                    <w:rPr>
                      <w:color w:val="00B0F0"/>
                      <w:kern w:val="0"/>
                      <w:sz w:val="21"/>
                      <w:szCs w:val="21"/>
                    </w:rPr>
                  </w:pPr>
                  <w:r>
                    <w:rPr>
                      <w:sz w:val="21"/>
                      <w:szCs w:val="21"/>
                    </w:rPr>
                    <w:t>2.90E-03</w:t>
                  </w:r>
                </w:p>
              </w:tc>
              <w:tc>
                <w:tcPr>
                  <w:tcW w:w="883" w:type="dxa"/>
                  <w:vAlign w:val="center"/>
                </w:tcPr>
                <w:p>
                  <w:pPr>
                    <w:jc w:val="center"/>
                    <w:rPr>
                      <w:color w:val="000000"/>
                      <w:kern w:val="0"/>
                      <w:sz w:val="21"/>
                      <w:szCs w:val="21"/>
                    </w:rPr>
                  </w:pPr>
                  <w:r>
                    <w:rPr>
                      <w:rFonts w:hint="eastAsia"/>
                      <w:color w:val="000000"/>
                      <w:sz w:val="21"/>
                      <w:szCs w:val="21"/>
                    </w:rPr>
                    <w:t>0</w:t>
                  </w:r>
                  <w:r>
                    <w:rPr>
                      <w:color w:val="000000"/>
                      <w:sz w:val="21"/>
                      <w:szCs w:val="21"/>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973"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介入手术室西墙外缓冲间流动人员</w:t>
                  </w:r>
                </w:p>
              </w:tc>
              <w:tc>
                <w:tcPr>
                  <w:tcW w:w="426" w:type="dxa"/>
                  <w:vMerge w:val="continue"/>
                  <w:shd w:val="clear" w:color="auto" w:fill="auto"/>
                  <w:vAlign w:val="center"/>
                </w:tcPr>
                <w:p>
                  <w:pPr>
                    <w:jc w:val="center"/>
                    <w:rPr>
                      <w:color w:val="FF0000"/>
                      <w:sz w:val="21"/>
                      <w:szCs w:val="21"/>
                    </w:rPr>
                  </w:pPr>
                </w:p>
              </w:tc>
              <w:tc>
                <w:tcPr>
                  <w:tcW w:w="1041" w:type="dxa"/>
                  <w:shd w:val="clear" w:color="auto" w:fill="auto"/>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2.53E-01</w:t>
                  </w:r>
                </w:p>
              </w:tc>
              <w:tc>
                <w:tcPr>
                  <w:tcW w:w="678" w:type="dxa"/>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.7</w:t>
                  </w:r>
                </w:p>
              </w:tc>
              <w:tc>
                <w:tcPr>
                  <w:tcW w:w="1124" w:type="dxa"/>
                  <w:shd w:val="clear" w:color="auto" w:fill="auto"/>
                  <w:vAlign w:val="center"/>
                </w:tcPr>
                <w:p>
                  <w:pPr>
                    <w:ind w:left="-9" w:leftChars="-50" w:right="-72" w:rightChars="-30" w:hanging="111" w:hangingChars="5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8.09E-03</w:t>
                  </w:r>
                </w:p>
              </w:tc>
              <w:tc>
                <w:tcPr>
                  <w:tcW w:w="832" w:type="dxa"/>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r>
                    <w:rPr>
                      <w:color w:val="000000" w:themeColor="text1"/>
                      <w:sz w:val="21"/>
                      <w:szCs w:val="21"/>
                      <w14:textFill>
                        <w14:solidFill>
                          <w14:schemeClr w14:val="tx1"/>
                        </w14:solidFill>
                      </w14:textFill>
                    </w:rPr>
                    <w:t>3.3</w:t>
                  </w:r>
                </w:p>
              </w:tc>
              <w:tc>
                <w:tcPr>
                  <w:tcW w:w="702"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1/16</w:t>
                  </w:r>
                </w:p>
              </w:tc>
              <w:tc>
                <w:tcPr>
                  <w:tcW w:w="1109" w:type="dxa"/>
                  <w:vAlign w:val="center"/>
                </w:tcPr>
                <w:p>
                  <w:pPr>
                    <w:jc w:val="center"/>
                    <w:rPr>
                      <w:color w:val="00B0F0"/>
                      <w:kern w:val="0"/>
                      <w:sz w:val="21"/>
                      <w:szCs w:val="21"/>
                    </w:rPr>
                  </w:pPr>
                  <w:r>
                    <w:rPr>
                      <w:sz w:val="21"/>
                      <w:szCs w:val="21"/>
                    </w:rPr>
                    <w:t>1.53E-04</w:t>
                  </w:r>
                </w:p>
              </w:tc>
              <w:tc>
                <w:tcPr>
                  <w:tcW w:w="883"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973" w:type="dxa"/>
                  <w:shd w:val="clear" w:color="auto" w:fill="auto"/>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介入手术室顶棚外办公室停留人员</w:t>
                  </w:r>
                </w:p>
              </w:tc>
              <w:tc>
                <w:tcPr>
                  <w:tcW w:w="426" w:type="dxa"/>
                  <w:vMerge w:val="continue"/>
                  <w:shd w:val="clear" w:color="auto" w:fill="auto"/>
                  <w:vAlign w:val="center"/>
                </w:tcPr>
                <w:p>
                  <w:pPr>
                    <w:jc w:val="center"/>
                    <w:rPr>
                      <w:color w:val="FF0000"/>
                      <w:sz w:val="21"/>
                      <w:szCs w:val="21"/>
                    </w:rPr>
                  </w:pPr>
                </w:p>
              </w:tc>
              <w:tc>
                <w:tcPr>
                  <w:tcW w:w="1041" w:type="dxa"/>
                  <w:shd w:val="clear" w:color="auto" w:fill="auto"/>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9.11E+00</w:t>
                  </w:r>
                </w:p>
              </w:tc>
              <w:tc>
                <w:tcPr>
                  <w:tcW w:w="678" w:type="dxa"/>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.7</w:t>
                  </w:r>
                </w:p>
              </w:tc>
              <w:tc>
                <w:tcPr>
                  <w:tcW w:w="1124" w:type="dxa"/>
                  <w:shd w:val="clear" w:color="auto" w:fill="auto"/>
                  <w:vAlign w:val="center"/>
                </w:tcPr>
                <w:p>
                  <w:pPr>
                    <w:ind w:left="-9" w:leftChars="-50" w:right="-72" w:rightChars="-30" w:hanging="111" w:hangingChars="5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2.91E-01</w:t>
                  </w:r>
                </w:p>
              </w:tc>
              <w:tc>
                <w:tcPr>
                  <w:tcW w:w="832" w:type="dxa"/>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r>
                    <w:rPr>
                      <w:color w:val="000000" w:themeColor="text1"/>
                      <w:sz w:val="21"/>
                      <w:szCs w:val="21"/>
                      <w14:textFill>
                        <w14:solidFill>
                          <w14:schemeClr w14:val="tx1"/>
                        </w14:solidFill>
                      </w14:textFill>
                    </w:rPr>
                    <w:t>3.3</w:t>
                  </w:r>
                </w:p>
              </w:tc>
              <w:tc>
                <w:tcPr>
                  <w:tcW w:w="702"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109" w:type="dxa"/>
                  <w:vAlign w:val="center"/>
                </w:tcPr>
                <w:p>
                  <w:pPr>
                    <w:jc w:val="center"/>
                    <w:rPr>
                      <w:color w:val="00B0F0"/>
                      <w:kern w:val="0"/>
                      <w:sz w:val="21"/>
                      <w:szCs w:val="21"/>
                    </w:rPr>
                  </w:pPr>
                  <w:r>
                    <w:rPr>
                      <w:sz w:val="21"/>
                      <w:szCs w:val="21"/>
                    </w:rPr>
                    <w:t>8.82E-02</w:t>
                  </w:r>
                </w:p>
              </w:tc>
              <w:tc>
                <w:tcPr>
                  <w:tcW w:w="883"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73" w:type="dxa"/>
                  <w:tcBorders>
                    <w:bottom w:val="single" w:color="auto" w:sz="12" w:space="0"/>
                    <w:right w:val="single" w:color="auto" w:sz="4" w:space="0"/>
                  </w:tcBorders>
                  <w:shd w:val="clear" w:color="auto" w:fill="auto"/>
                  <w:vAlign w:val="center"/>
                </w:tcPr>
                <w:p>
                  <w:pPr>
                    <w:snapToGrid w:val="0"/>
                    <w:jc w:val="center"/>
                    <w:rPr>
                      <w:color w:val="00B0F0"/>
                      <w:sz w:val="21"/>
                      <w:szCs w:val="21"/>
                    </w:rPr>
                  </w:pPr>
                  <w:r>
                    <w:rPr>
                      <w:rFonts w:hint="eastAsia"/>
                      <w:color w:val="000000" w:themeColor="text1"/>
                      <w:sz w:val="21"/>
                      <w:szCs w:val="21"/>
                      <w14:textFill>
                        <w14:solidFill>
                          <w14:schemeClr w14:val="tx1"/>
                        </w14:solidFill>
                      </w14:textFill>
                    </w:rPr>
                    <w:t>操作间工作人员</w:t>
                  </w:r>
                </w:p>
              </w:tc>
              <w:tc>
                <w:tcPr>
                  <w:tcW w:w="426" w:type="dxa"/>
                  <w:tcBorders>
                    <w:left w:val="single" w:color="auto" w:sz="4" w:space="0"/>
                    <w:bottom w:val="single" w:color="auto" w:sz="12" w:space="0"/>
                  </w:tcBorders>
                  <w:shd w:val="clear" w:color="auto" w:fill="auto"/>
                  <w:vAlign w:val="center"/>
                </w:tcPr>
                <w:p>
                  <w:pPr>
                    <w:jc w:val="center"/>
                    <w:rPr>
                      <w:color w:val="000000"/>
                      <w:sz w:val="21"/>
                      <w:szCs w:val="21"/>
                    </w:rPr>
                  </w:pPr>
                  <w:r>
                    <w:rPr>
                      <w:rFonts w:hint="eastAsia"/>
                      <w:color w:val="000000"/>
                      <w:sz w:val="21"/>
                      <w:szCs w:val="21"/>
                    </w:rPr>
                    <w:t>职业人员</w:t>
                  </w:r>
                </w:p>
              </w:tc>
              <w:tc>
                <w:tcPr>
                  <w:tcW w:w="1041" w:type="dxa"/>
                  <w:tcBorders>
                    <w:bottom w:val="single" w:color="auto" w:sz="12" w:space="0"/>
                  </w:tcBorders>
                  <w:shd w:val="clear" w:color="auto" w:fill="auto"/>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3.21E+01</w:t>
                  </w:r>
                </w:p>
              </w:tc>
              <w:tc>
                <w:tcPr>
                  <w:tcW w:w="678" w:type="dxa"/>
                  <w:tcBorders>
                    <w:bottom w:val="single" w:color="auto" w:sz="12" w:space="0"/>
                  </w:tcBorders>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.7</w:t>
                  </w:r>
                </w:p>
              </w:tc>
              <w:tc>
                <w:tcPr>
                  <w:tcW w:w="1124" w:type="dxa"/>
                  <w:tcBorders>
                    <w:bottom w:val="single" w:color="auto" w:sz="12" w:space="0"/>
                  </w:tcBorders>
                  <w:shd w:val="clear" w:color="auto" w:fill="auto"/>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1.03E+00</w:t>
                  </w:r>
                </w:p>
              </w:tc>
              <w:tc>
                <w:tcPr>
                  <w:tcW w:w="832" w:type="dxa"/>
                  <w:tcBorders>
                    <w:bottom w:val="single" w:color="auto" w:sz="12" w:space="0"/>
                  </w:tcBorders>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r>
                    <w:rPr>
                      <w:color w:val="000000" w:themeColor="text1"/>
                      <w:sz w:val="21"/>
                      <w:szCs w:val="21"/>
                      <w14:textFill>
                        <w14:solidFill>
                          <w14:schemeClr w14:val="tx1"/>
                        </w14:solidFill>
                      </w14:textFill>
                    </w:rPr>
                    <w:t>3.3</w:t>
                  </w:r>
                </w:p>
              </w:tc>
              <w:tc>
                <w:tcPr>
                  <w:tcW w:w="702" w:type="dxa"/>
                  <w:tcBorders>
                    <w:bottom w:val="single" w:color="auto" w:sz="12" w:space="0"/>
                  </w:tcBorders>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109" w:type="dxa"/>
                  <w:tcBorders>
                    <w:bottom w:val="single" w:color="auto" w:sz="12" w:space="0"/>
                  </w:tcBorders>
                  <w:vAlign w:val="center"/>
                </w:tcPr>
                <w:p>
                  <w:pPr>
                    <w:jc w:val="center"/>
                    <w:rPr>
                      <w:color w:val="00B0F0"/>
                      <w:kern w:val="0"/>
                      <w:sz w:val="21"/>
                      <w:szCs w:val="21"/>
                    </w:rPr>
                  </w:pPr>
                  <w:r>
                    <w:rPr>
                      <w:sz w:val="21"/>
                      <w:szCs w:val="21"/>
                    </w:rPr>
                    <w:t>3.11E-01</w:t>
                  </w:r>
                </w:p>
              </w:tc>
              <w:tc>
                <w:tcPr>
                  <w:tcW w:w="883" w:type="dxa"/>
                  <w:tcBorders>
                    <w:bottom w:val="single" w:color="auto" w:sz="12" w:space="0"/>
                  </w:tcBorders>
                  <w:vAlign w:val="center"/>
                </w:tcPr>
                <w:p>
                  <w:pPr>
                    <w:jc w:val="center"/>
                    <w:rPr>
                      <w:color w:val="000000"/>
                      <w:kern w:val="0"/>
                      <w:sz w:val="21"/>
                      <w:szCs w:val="21"/>
                    </w:rPr>
                  </w:pPr>
                  <w:r>
                    <w:rPr>
                      <w:rFonts w:hint="eastAsia"/>
                      <w:color w:val="000000"/>
                      <w:kern w:val="0"/>
                      <w:sz w:val="21"/>
                      <w:szCs w:val="21"/>
                    </w:rPr>
                    <w:t>5</w:t>
                  </w:r>
                </w:p>
              </w:tc>
            </w:tr>
          </w:tbl>
          <w:p>
            <w:pPr>
              <w:adjustRightInd w:val="0"/>
              <w:snapToGrid w:val="0"/>
              <w:spacing w:before="167" w:beforeLines="50" w:line="360" w:lineRule="auto"/>
              <w:ind w:firstLine="480" w:firstLineChars="200"/>
              <w:rPr>
                <w:color w:val="000000"/>
                <w:kern w:val="0"/>
              </w:rPr>
            </w:pPr>
            <w:r>
              <w:rPr>
                <w:color w:val="000000"/>
              </w:rPr>
              <w:fldChar w:fldCharType="begin"/>
            </w:r>
            <w:r>
              <w:rPr>
                <w:color w:val="000000"/>
              </w:rPr>
              <w:instrText xml:space="preserve"> = 3 \* GB3 </w:instrText>
            </w:r>
            <w:r>
              <w:rPr>
                <w:color w:val="000000"/>
              </w:rPr>
              <w:fldChar w:fldCharType="separate"/>
            </w:r>
            <w:r>
              <w:rPr>
                <w:rFonts w:hint="eastAsia" w:ascii="宋体" w:hAnsi="宋体" w:cs="宋体"/>
                <w:color w:val="000000"/>
              </w:rPr>
              <w:t>③</w:t>
            </w:r>
            <w:r>
              <w:rPr>
                <w:color w:val="000000"/>
              </w:rPr>
              <w:fldChar w:fldCharType="end"/>
            </w:r>
            <w:r>
              <w:rPr>
                <w:color w:val="000000"/>
                <w:kern w:val="0"/>
              </w:rPr>
              <w:t>职业人员年附加有效剂量估算</w:t>
            </w:r>
          </w:p>
          <w:p>
            <w:pPr>
              <w:adjustRightInd w:val="0"/>
              <w:snapToGrid w:val="0"/>
              <w:spacing w:line="360" w:lineRule="auto"/>
              <w:ind w:firstLine="480" w:firstLineChars="200"/>
              <w:rPr>
                <w:color w:val="000000"/>
              </w:rPr>
            </w:pPr>
            <w:r>
              <w:rPr>
                <w:color w:val="000000"/>
              </w:rPr>
              <w:t>A．第一手术操作位（医生）、第二手术操作位（护士）年附加有效剂量估算</w:t>
            </w:r>
          </w:p>
          <w:p>
            <w:pPr>
              <w:adjustRightInd w:val="0"/>
              <w:snapToGrid w:val="0"/>
              <w:spacing w:line="360" w:lineRule="auto"/>
              <w:ind w:firstLine="480" w:firstLineChars="200"/>
              <w:rPr>
                <w:color w:val="000000"/>
              </w:rPr>
            </w:pPr>
            <w:r>
              <w:rPr>
                <w:rFonts w:hint="eastAsia"/>
                <w:color w:val="000000"/>
              </w:rPr>
              <w:t>在透视模式下，医护人员在DSA手术室内对患者进行手术。介入手术时第一术者位医生穿戴铅衣、头戴铅帽、铅眼镜等防护用品，位于铅吊屏和床侧铅帘后；第二术者位护士/助手穿戴铅衣等防护用品，位于移动铅屏风后。</w:t>
            </w:r>
          </w:p>
          <w:p>
            <w:pPr>
              <w:adjustRightInd w:val="0"/>
              <w:snapToGrid w:val="0"/>
              <w:spacing w:line="360" w:lineRule="auto"/>
              <w:ind w:firstLine="480" w:firstLineChars="200"/>
              <w:rPr>
                <w:color w:val="000000"/>
              </w:rPr>
            </w:pPr>
            <w:r>
              <w:rPr>
                <w:color w:val="000000"/>
              </w:rPr>
              <w:t>根据《医用X射线诊断设备质量控制检测规范》（WS76-2020）附录B中表B.1 X射线透视设备的检测项目及技术要求“7、非直接荧光屏透视设备透视防护区检测平面上周围剂量当量率不大于400μGy/h”，因此本次评价保守按照X射线设备在确保铅屏风和床侧铅挂帘等防护设施正常使用的情况下，手术医生和护士铅衣外按照在透视防护区测试平面上的空气比释动能率为400μGy/h进行计算。</w:t>
            </w:r>
          </w:p>
          <w:p>
            <w:pPr>
              <w:adjustRightInd w:val="0"/>
              <w:snapToGrid w:val="0"/>
              <w:spacing w:line="360" w:lineRule="auto"/>
              <w:ind w:firstLine="480" w:firstLineChars="200"/>
              <w:rPr>
                <w:color w:val="000000"/>
              </w:rPr>
            </w:pPr>
            <w:r>
              <w:rPr>
                <w:rFonts w:hint="eastAsia"/>
                <w:color w:val="000000"/>
              </w:rPr>
              <w:t>根据公式11-2计算可知，管电压125kV时，手术医生、护士穿0.5mm厚铅衣的辐射透射因子B为5.57×10</w:t>
            </w:r>
            <w:r>
              <w:rPr>
                <w:rFonts w:hint="eastAsia"/>
                <w:color w:val="000000"/>
                <w:vertAlign w:val="superscript"/>
              </w:rPr>
              <w:t>-2</w:t>
            </w:r>
            <w:r>
              <w:rPr>
                <w:rFonts w:hint="eastAsia"/>
                <w:color w:val="000000"/>
              </w:rPr>
              <w:t>。</w:t>
            </w:r>
            <w:r>
              <w:rPr>
                <w:color w:val="000000"/>
              </w:rPr>
              <w:t>项目DSA手术透视情况下年累积出束时间93.3h，透视情况</w:t>
            </w:r>
            <w:r>
              <w:rPr>
                <w:rFonts w:hint="eastAsia"/>
                <w:color w:val="000000"/>
              </w:rPr>
              <w:t>下，介入手术所致手术室内医护人员年附加有效剂量为</w:t>
            </w:r>
            <w:r>
              <w:rPr>
                <w:color w:val="000000"/>
              </w:rPr>
              <w:t>2.08</w:t>
            </w:r>
            <w:r>
              <w:rPr>
                <w:rFonts w:hint="eastAsia"/>
                <w:color w:val="000000"/>
              </w:rPr>
              <w:t>mSv，采集情况下介入人员位于控制室内，所受到的年附加有效剂量为</w:t>
            </w:r>
            <w:r>
              <w:rPr>
                <w:color w:val="000000"/>
              </w:rPr>
              <w:t>0.22</w:t>
            </w:r>
            <w:r>
              <w:rPr>
                <w:rFonts w:hint="eastAsia"/>
                <w:color w:val="000000"/>
              </w:rPr>
              <w:t>mSv，项目手术室放射工作人员分为</w:t>
            </w:r>
            <w:r>
              <w:rPr>
                <w:color w:val="000000"/>
              </w:rPr>
              <w:t>2</w:t>
            </w:r>
            <w:r>
              <w:rPr>
                <w:rFonts w:hint="eastAsia"/>
                <w:color w:val="000000"/>
              </w:rPr>
              <w:t>组（手术医生2名、护士2名），则介入手术所致手术室内操作医生、护士年剂量为</w:t>
            </w:r>
            <w:r>
              <w:rPr>
                <w:color w:val="000000"/>
              </w:rPr>
              <w:t>1.15</w:t>
            </w:r>
            <w:r>
              <w:rPr>
                <w:rFonts w:hint="eastAsia"/>
                <w:color w:val="000000"/>
              </w:rPr>
              <w:t>mSv</w:t>
            </w:r>
            <w:r>
              <w:rPr>
                <w:rFonts w:hint="eastAsia"/>
                <w:color w:val="000000" w:themeColor="text1"/>
                <w14:textFill>
                  <w14:solidFill>
                    <w14:schemeClr w14:val="tx1"/>
                  </w14:solidFill>
                </w14:textFill>
              </w:rPr>
              <w:t>/a</w:t>
            </w:r>
            <w:r>
              <w:rPr>
                <w:rFonts w:hint="eastAsia"/>
                <w:color w:val="000000"/>
              </w:rPr>
              <w:t>，介入手术医生和护士受到的附加年有效剂量低于《电离辐射防护与辐射源安全基本标准》（GB18871-2002）中年剂量限值（职业人员20mSv）及本次评价所取的年剂量约束限值（职业人员5.0mSv）。</w:t>
            </w:r>
          </w:p>
          <w:p>
            <w:pPr>
              <w:adjustRightInd w:val="0"/>
              <w:snapToGrid w:val="0"/>
              <w:spacing w:line="360" w:lineRule="auto"/>
              <w:ind w:firstLine="480" w:firstLineChars="200"/>
              <w:rPr>
                <w:color w:val="000000"/>
              </w:rPr>
            </w:pPr>
            <w:r>
              <w:rPr>
                <w:color w:val="000000"/>
              </w:rPr>
              <w:t>B．控制室内技师年附加有效剂量估算</w:t>
            </w:r>
          </w:p>
          <w:p>
            <w:pPr>
              <w:adjustRightInd w:val="0"/>
              <w:snapToGrid w:val="0"/>
              <w:spacing w:line="360" w:lineRule="auto"/>
              <w:ind w:firstLine="480" w:firstLineChars="200"/>
              <w:rPr>
                <w:color w:val="000000"/>
              </w:rPr>
            </w:pPr>
            <w:r>
              <w:rPr>
                <w:color w:val="000000"/>
              </w:rPr>
              <w:t>由表11-7可知，</w:t>
            </w:r>
            <w:r>
              <w:rPr>
                <w:rFonts w:hint="eastAsia"/>
                <w:color w:val="000000"/>
              </w:rPr>
              <w:t>本项目D</w:t>
            </w:r>
            <w:r>
              <w:rPr>
                <w:color w:val="000000"/>
              </w:rPr>
              <w:t>SA设备正常运行时，控制室内工作人员最大年附加有效剂量为0.31mSv</w:t>
            </w:r>
            <w:r>
              <w:rPr>
                <w:rFonts w:hint="eastAsia"/>
                <w:color w:val="000000"/>
              </w:rPr>
              <w:t>，低于《电离辐射防护与辐射源安全基本标准》（GB18871-2002）中年剂量限值（职业人员20mSv）及本次评价所取的年剂量约束限值（职业人员5.0mSv）。</w:t>
            </w:r>
          </w:p>
          <w:p>
            <w:pPr>
              <w:adjustRightInd w:val="0"/>
              <w:snapToGrid w:val="0"/>
              <w:spacing w:line="360" w:lineRule="auto"/>
              <w:ind w:firstLine="480" w:firstLineChars="200"/>
              <w:rPr>
                <w:color w:val="000000"/>
              </w:rPr>
            </w:pPr>
            <w:r>
              <w:rPr>
                <w:rFonts w:hint="eastAsia"/>
                <w:color w:val="000000"/>
              </w:rPr>
              <w:t>事实上，上述估算偏保守，忽略了</w:t>
            </w:r>
            <w:r>
              <w:t>数字减影血管造影</w:t>
            </w:r>
            <w:r>
              <w:rPr>
                <w:rFonts w:hint="eastAsia"/>
              </w:rPr>
              <w:t>机</w:t>
            </w:r>
            <w:r>
              <w:t>（DSA）</w:t>
            </w:r>
            <w:r>
              <w:rPr>
                <w:rFonts w:hint="eastAsia"/>
                <w:color w:val="000000"/>
              </w:rPr>
              <w:t>材料的衰减作用，因此本项目</w:t>
            </w:r>
            <w:r>
              <w:t>数字减影血管造影</w:t>
            </w:r>
            <w:r>
              <w:rPr>
                <w:rFonts w:hint="eastAsia"/>
              </w:rPr>
              <w:t>机</w:t>
            </w:r>
            <w:r>
              <w:t>（DSA）</w:t>
            </w:r>
            <w:r>
              <w:rPr>
                <w:rFonts w:hint="eastAsia"/>
                <w:color w:val="000000"/>
              </w:rPr>
              <w:t>在正常运行情况下，医护人员实际受到的年附加剂量率小于理论计算值。</w:t>
            </w:r>
          </w:p>
          <w:p>
            <w:pPr>
              <w:spacing w:line="360" w:lineRule="auto"/>
              <w:ind w:firstLine="480" w:firstLineChars="200"/>
              <w:rPr>
                <w:kern w:val="0"/>
              </w:rPr>
            </w:pPr>
            <w:r>
              <w:rPr>
                <w:rFonts w:hint="eastAsia"/>
                <w:kern w:val="0"/>
              </w:rPr>
              <w:t>④公众年附加有效剂量估算</w:t>
            </w:r>
          </w:p>
          <w:p>
            <w:pPr>
              <w:spacing w:line="360" w:lineRule="auto"/>
              <w:ind w:firstLine="480" w:firstLineChars="200"/>
              <w:rPr>
                <w:kern w:val="0"/>
              </w:rPr>
            </w:pPr>
            <w:r>
              <w:rPr>
                <w:kern w:val="0"/>
              </w:rPr>
              <w:t>由表11-7可知，正常运行工况下，DSA手术室</w:t>
            </w:r>
            <w:r>
              <w:rPr>
                <w:rFonts w:hint="eastAsia"/>
                <w:kern w:val="0"/>
              </w:rPr>
              <w:t>屏蔽墙体</w:t>
            </w:r>
            <w:r>
              <w:rPr>
                <w:kern w:val="0"/>
              </w:rPr>
              <w:t>外</w:t>
            </w:r>
            <w:r>
              <w:rPr>
                <w:rFonts w:hint="eastAsia"/>
                <w:kern w:val="0"/>
              </w:rPr>
              <w:t>及楼上</w:t>
            </w:r>
            <w:r>
              <w:rPr>
                <w:kern w:val="0"/>
              </w:rPr>
              <w:t>公众</w:t>
            </w:r>
            <w:r>
              <w:rPr>
                <w:rFonts w:hint="eastAsia"/>
                <w:kern w:val="0"/>
              </w:rPr>
              <w:t>人员</w:t>
            </w:r>
            <w:r>
              <w:rPr>
                <w:kern w:val="0"/>
              </w:rPr>
              <w:t>所受的年附加有效剂量范围为</w:t>
            </w:r>
            <w:r>
              <w:rPr>
                <w:rFonts w:hint="eastAsia"/>
                <w:color w:val="000000"/>
                <w:kern w:val="0"/>
              </w:rPr>
              <w:t>7</w:t>
            </w:r>
            <w:r>
              <w:rPr>
                <w:color w:val="000000"/>
                <w:kern w:val="0"/>
              </w:rPr>
              <w:t>.24×10</w:t>
            </w:r>
            <w:r>
              <w:rPr>
                <w:color w:val="000000"/>
                <w:kern w:val="0"/>
                <w:vertAlign w:val="superscript"/>
              </w:rPr>
              <w:t>-4</w:t>
            </w:r>
            <w:r>
              <w:rPr>
                <w:color w:val="000000"/>
                <w:kern w:val="0"/>
              </w:rPr>
              <w:t>mSv～</w:t>
            </w:r>
            <w:r>
              <w:rPr>
                <w:rFonts w:hint="eastAsia"/>
                <w:color w:val="000000"/>
                <w:kern w:val="0"/>
              </w:rPr>
              <w:t>8</w:t>
            </w:r>
            <w:r>
              <w:rPr>
                <w:color w:val="000000"/>
                <w:kern w:val="0"/>
              </w:rPr>
              <w:t>.82×10</w:t>
            </w:r>
            <w:r>
              <w:rPr>
                <w:color w:val="000000"/>
                <w:kern w:val="0"/>
                <w:vertAlign w:val="superscript"/>
              </w:rPr>
              <w:t>-2</w:t>
            </w:r>
            <w:r>
              <w:rPr>
                <w:color w:val="000000"/>
                <w:kern w:val="0"/>
              </w:rPr>
              <w:t>mSv</w:t>
            </w:r>
            <w:r>
              <w:rPr>
                <w:rFonts w:hint="eastAsia"/>
                <w:color w:val="000000"/>
                <w:kern w:val="0"/>
              </w:rPr>
              <w:t>。</w:t>
            </w:r>
            <w:r>
              <w:rPr>
                <w:kern w:val="0"/>
              </w:rPr>
              <w:t>由于辐射源强度与距离平方成反比关系，因此DSA</w:t>
            </w:r>
            <w:r>
              <w:rPr>
                <w:rFonts w:hint="eastAsia"/>
                <w:kern w:val="0"/>
              </w:rPr>
              <w:t>机房介入</w:t>
            </w:r>
            <w:r>
              <w:rPr>
                <w:kern w:val="0"/>
              </w:rPr>
              <w:t>手术室</w:t>
            </w:r>
            <w:r>
              <w:rPr>
                <w:rFonts w:hint="eastAsia"/>
                <w:kern w:val="0"/>
              </w:rPr>
              <w:t>周边</w:t>
            </w:r>
            <w:r>
              <w:rPr>
                <w:kern w:val="0"/>
              </w:rPr>
              <w:t>楼层</w:t>
            </w:r>
            <w:r>
              <w:rPr>
                <w:rFonts w:hint="eastAsia"/>
                <w:kern w:val="0"/>
              </w:rPr>
              <w:t>及其他区域的</w:t>
            </w:r>
            <w:r>
              <w:rPr>
                <w:kern w:val="0"/>
              </w:rPr>
              <w:t>人员</w:t>
            </w:r>
            <w:r>
              <w:rPr>
                <w:color w:val="000000"/>
                <w:kern w:val="0"/>
              </w:rPr>
              <w:t>等</w:t>
            </w:r>
            <w:r>
              <w:rPr>
                <w:kern w:val="0"/>
              </w:rPr>
              <w:t>公众年附加有效剂量</w:t>
            </w:r>
            <w:r>
              <w:rPr>
                <w:rFonts w:hint="eastAsia"/>
                <w:kern w:val="0"/>
              </w:rPr>
              <w:t>均</w:t>
            </w:r>
            <w:r>
              <w:rPr>
                <w:kern w:val="0"/>
              </w:rPr>
              <w:t>不超过</w:t>
            </w:r>
            <w:r>
              <w:rPr>
                <w:rFonts w:hint="eastAsia"/>
                <w:color w:val="000000"/>
                <w:kern w:val="0"/>
              </w:rPr>
              <w:t>8</w:t>
            </w:r>
            <w:r>
              <w:rPr>
                <w:color w:val="000000"/>
                <w:kern w:val="0"/>
              </w:rPr>
              <w:t>.82×10</w:t>
            </w:r>
            <w:r>
              <w:rPr>
                <w:color w:val="000000"/>
                <w:kern w:val="0"/>
                <w:vertAlign w:val="superscript"/>
              </w:rPr>
              <w:t>-2</w:t>
            </w:r>
            <w:r>
              <w:rPr>
                <w:color w:val="000000"/>
                <w:kern w:val="0"/>
              </w:rPr>
              <w:t>mSv，</w:t>
            </w:r>
            <w:r>
              <w:rPr>
                <w:rFonts w:hint="eastAsia"/>
                <w:color w:val="000000"/>
                <w:kern w:val="0"/>
              </w:rPr>
              <w:t>其结果均满足</w:t>
            </w:r>
            <w:r>
              <w:rPr>
                <w:rFonts w:hint="eastAsia"/>
                <w:kern w:val="0"/>
              </w:rPr>
              <w:t>《电离辐射防护与辐射源安全基本标准》（GB18871-2002）中年剂量基本限值（公众人员1mSv）及本次评价所取的年剂量约束限值（公众人员0.1mSv）。</w:t>
            </w:r>
          </w:p>
          <w:p>
            <w:pPr>
              <w:spacing w:line="360" w:lineRule="auto"/>
              <w:rPr>
                <w:rFonts w:eastAsia="黑体"/>
                <w:b/>
                <w:bCs/>
                <w:color w:val="000000"/>
                <w:sz w:val="28"/>
                <w:szCs w:val="28"/>
              </w:rPr>
            </w:pPr>
            <w:r>
              <w:rPr>
                <w:rFonts w:eastAsia="黑体"/>
                <w:b/>
                <w:bCs/>
                <w:color w:val="000000"/>
                <w:sz w:val="28"/>
                <w:szCs w:val="28"/>
              </w:rPr>
              <w:t>11.4</w:t>
            </w:r>
            <w:r>
              <w:rPr>
                <w:rFonts w:ascii="宋体" w:hAnsi="宋体"/>
                <w:b/>
                <w:bCs/>
                <w:color w:val="000000"/>
                <w:sz w:val="28"/>
                <w:szCs w:val="28"/>
              </w:rPr>
              <w:t>废气、</w:t>
            </w:r>
            <w:r>
              <w:rPr>
                <w:rFonts w:hint="eastAsia" w:ascii="宋体" w:hAnsi="宋体"/>
                <w:b/>
                <w:bCs/>
                <w:color w:val="000000"/>
                <w:sz w:val="28"/>
                <w:szCs w:val="28"/>
              </w:rPr>
              <w:t>废水、</w:t>
            </w:r>
            <w:r>
              <w:rPr>
                <w:rFonts w:ascii="宋体" w:hAnsi="宋体"/>
                <w:b/>
                <w:bCs/>
                <w:color w:val="000000"/>
                <w:sz w:val="28"/>
                <w:szCs w:val="28"/>
              </w:rPr>
              <w:t>固体废物环境影响分析</w:t>
            </w:r>
          </w:p>
          <w:p>
            <w:pPr>
              <w:spacing w:line="360" w:lineRule="auto"/>
              <w:ind w:firstLine="482" w:firstLineChars="200"/>
              <w:rPr>
                <w:b/>
                <w:color w:val="000000"/>
              </w:rPr>
            </w:pPr>
            <w:r>
              <w:rPr>
                <w:b/>
                <w:color w:val="000000"/>
              </w:rPr>
              <w:t>11.4</w:t>
            </w:r>
            <w:r>
              <w:rPr>
                <w:rFonts w:hint="eastAsia"/>
                <w:b/>
                <w:color w:val="000000"/>
              </w:rPr>
              <w:t>.1</w:t>
            </w:r>
            <w:r>
              <w:rPr>
                <w:b/>
                <w:color w:val="000000"/>
              </w:rPr>
              <w:t xml:space="preserve"> 废</w:t>
            </w:r>
            <w:r>
              <w:rPr>
                <w:rFonts w:hint="eastAsia"/>
                <w:b/>
                <w:color w:val="000000"/>
              </w:rPr>
              <w:t>气</w:t>
            </w:r>
            <w:r>
              <w:rPr>
                <w:b/>
                <w:color w:val="000000"/>
              </w:rPr>
              <w:t>影响分析</w:t>
            </w:r>
          </w:p>
          <w:p>
            <w:pPr>
              <w:autoSpaceDE w:val="0"/>
              <w:autoSpaceDN w:val="0"/>
              <w:spacing w:line="360" w:lineRule="auto"/>
              <w:ind w:firstLine="480" w:firstLineChars="200"/>
              <w:rPr>
                <w:color w:val="000000"/>
              </w:rPr>
            </w:pPr>
            <w:r>
              <w:t>数字减影血管造影</w:t>
            </w:r>
            <w:r>
              <w:rPr>
                <w:rFonts w:hint="eastAsia"/>
              </w:rPr>
              <w:t>机</w:t>
            </w:r>
            <w:r>
              <w:t>（DSA）</w:t>
            </w:r>
            <w:r>
              <w:rPr>
                <w:color w:val="000000"/>
              </w:rPr>
              <w:t>在开机并处于出束状态时，X射线与空气作用会产生极少量的臭氧、氮氧化物等有害气体，由于项目射线装置的管电压、管电流较小，产生的有害气体相对较少。根据《放射诊断放射防护要求》（GBZ130-2020）要求：机房应设置动力通风装置，并保持良好的通风。</w:t>
            </w:r>
          </w:p>
          <w:p>
            <w:pPr>
              <w:spacing w:line="360" w:lineRule="auto"/>
              <w:ind w:firstLine="482" w:firstLineChars="200"/>
              <w:rPr>
                <w:b/>
                <w:color w:val="000000"/>
              </w:rPr>
            </w:pPr>
            <w:r>
              <w:rPr>
                <w:b/>
                <w:color w:val="000000"/>
              </w:rPr>
              <w:t>11.4</w:t>
            </w:r>
            <w:r>
              <w:rPr>
                <w:rFonts w:hint="eastAsia"/>
                <w:b/>
                <w:color w:val="000000"/>
              </w:rPr>
              <w:t>.</w:t>
            </w:r>
            <w:r>
              <w:rPr>
                <w:b/>
                <w:color w:val="000000"/>
              </w:rPr>
              <w:t>2 废水影响分析</w:t>
            </w:r>
          </w:p>
          <w:p>
            <w:pPr>
              <w:autoSpaceDE w:val="0"/>
              <w:autoSpaceDN w:val="0"/>
              <w:adjustRightInd w:val="0"/>
              <w:spacing w:line="360" w:lineRule="auto"/>
              <w:ind w:firstLine="480" w:firstLineChars="200"/>
              <w:rPr>
                <w:color w:val="000000"/>
                <w:kern w:val="0"/>
              </w:rPr>
            </w:pPr>
            <w:r>
              <w:rPr>
                <w:color w:val="000000"/>
                <w:kern w:val="0"/>
              </w:rPr>
              <w:t>项目采用</w:t>
            </w:r>
            <w:r>
              <w:rPr>
                <w:color w:val="000000"/>
              </w:rPr>
              <w:t>先进的数字显影技术</w:t>
            </w:r>
            <w:r>
              <w:rPr>
                <w:color w:val="000000"/>
                <w:kern w:val="0"/>
              </w:rPr>
              <w:t>，注入的造影剂不含放射性，无废显影液和定影液产生。</w:t>
            </w:r>
            <w:r>
              <w:rPr>
                <w:spacing w:val="-2"/>
              </w:rPr>
              <w:t>项目医护人员产生少量的生活污水，统一纳入医院污水处理系统。</w:t>
            </w:r>
          </w:p>
          <w:p>
            <w:pPr>
              <w:spacing w:line="360" w:lineRule="auto"/>
              <w:ind w:firstLine="482" w:firstLineChars="200"/>
              <w:rPr>
                <w:b/>
                <w:bCs/>
              </w:rPr>
            </w:pPr>
            <w:r>
              <w:rPr>
                <w:b/>
              </w:rPr>
              <w:t xml:space="preserve">11.4.3 </w:t>
            </w:r>
            <w:r>
              <w:rPr>
                <w:b/>
                <w:bCs/>
              </w:rPr>
              <w:t>固体废物影响分析</w:t>
            </w:r>
          </w:p>
          <w:p>
            <w:pPr>
              <w:pStyle w:val="11"/>
              <w:snapToGrid/>
              <w:spacing w:line="360" w:lineRule="auto"/>
              <w:ind w:firstLine="480" w:firstLineChars="200"/>
              <w:jc w:val="both"/>
              <w:rPr>
                <w:sz w:val="24"/>
                <w:szCs w:val="24"/>
              </w:rPr>
            </w:pPr>
            <w:r>
              <w:rPr>
                <w:sz w:val="24"/>
                <w:szCs w:val="24"/>
              </w:rPr>
              <w:t>项目采用先进的数字显影技术，不会产生废胶片。</w:t>
            </w:r>
            <w:r>
              <w:rPr>
                <w:kern w:val="0"/>
                <w:sz w:val="24"/>
                <w:szCs w:val="24"/>
              </w:rPr>
              <w:t>介入手术时产生的医用器具和药棉、纱布、手套等医疗废物，</w:t>
            </w:r>
            <w:r>
              <w:rPr>
                <w:sz w:val="24"/>
                <w:szCs w:val="24"/>
              </w:rPr>
              <w:t>在手术室</w:t>
            </w:r>
            <w:r>
              <w:rPr>
                <w:rFonts w:hint="eastAsia"/>
                <w:sz w:val="24"/>
                <w:szCs w:val="24"/>
              </w:rPr>
              <w:t>均</w:t>
            </w:r>
            <w:r>
              <w:rPr>
                <w:sz w:val="24"/>
                <w:szCs w:val="24"/>
              </w:rPr>
              <w:t>由专用包装袋、容器分类收集</w:t>
            </w:r>
            <w:r>
              <w:rPr>
                <w:rFonts w:hint="eastAsia"/>
                <w:sz w:val="24"/>
                <w:szCs w:val="24"/>
              </w:rPr>
              <w:t>。</w:t>
            </w:r>
          </w:p>
          <w:p>
            <w:pPr>
              <w:autoSpaceDE w:val="0"/>
              <w:autoSpaceDN w:val="0"/>
              <w:adjustRightInd w:val="0"/>
              <w:spacing w:line="360" w:lineRule="auto"/>
              <w:ind w:firstLine="480" w:firstLineChars="200"/>
            </w:pPr>
            <w:r>
              <w:rPr>
                <w:rFonts w:hint="eastAsia"/>
              </w:rPr>
              <w:t>DSA手术室收集的固体废物通过手术室西侧的污物门进入</w:t>
            </w:r>
            <w:r>
              <w:t>污物间，最终委托有资质的单位处置。固体废物得到妥善处置，对环境影响较小。</w:t>
            </w:r>
          </w:p>
          <w:p>
            <w:pPr>
              <w:spacing w:line="360" w:lineRule="auto"/>
              <w:rPr>
                <w:rFonts w:eastAsia="黑体"/>
                <w:b/>
                <w:bCs/>
                <w:color w:val="000000"/>
                <w:sz w:val="28"/>
                <w:szCs w:val="28"/>
              </w:rPr>
            </w:pPr>
            <w:r>
              <w:rPr>
                <w:rFonts w:eastAsia="黑体"/>
                <w:b/>
                <w:bCs/>
                <w:color w:val="000000"/>
                <w:sz w:val="28"/>
                <w:szCs w:val="28"/>
              </w:rPr>
              <w:t>11.5</w:t>
            </w:r>
            <w:r>
              <w:rPr>
                <w:rFonts w:hint="eastAsia" w:ascii="宋体" w:hAnsi="宋体"/>
                <w:b/>
                <w:bCs/>
                <w:color w:val="000000"/>
                <w:sz w:val="28"/>
                <w:szCs w:val="28"/>
              </w:rPr>
              <w:t>事故风险评价及应急预案</w:t>
            </w:r>
          </w:p>
          <w:p>
            <w:pPr>
              <w:spacing w:line="202" w:lineRule="auto"/>
              <w:ind w:firstLine="482" w:firstLineChars="200"/>
              <w:outlineLvl w:val="2"/>
              <w:rPr>
                <w:b/>
                <w:bCs/>
              </w:rPr>
            </w:pPr>
            <w:r>
              <w:rPr>
                <w:b/>
                <w:bCs/>
              </w:rPr>
              <w:t>11.5.1 风险识别及评价</w:t>
            </w:r>
          </w:p>
          <w:p>
            <w:pPr>
              <w:pStyle w:val="2"/>
              <w:ind w:firstLine="480"/>
              <w:rPr>
                <w:rFonts w:eastAsia="宋体"/>
              </w:rPr>
            </w:pPr>
            <w:r>
              <w:rPr>
                <w:rFonts w:eastAsia="宋体"/>
              </w:rPr>
              <w:t>结合</w:t>
            </w:r>
            <w:r>
              <w:rPr>
                <w:rFonts w:hint="eastAsia" w:eastAsia="宋体"/>
              </w:rPr>
              <w:t>本项目</w:t>
            </w:r>
            <w:r>
              <w:t>数字减影血管造影</w:t>
            </w:r>
            <w:r>
              <w:rPr>
                <w:rFonts w:hint="eastAsia"/>
              </w:rPr>
              <w:t>机</w:t>
            </w:r>
            <w:r>
              <w:t>（DSA）</w:t>
            </w:r>
            <w:r>
              <w:rPr>
                <w:rFonts w:eastAsia="宋体"/>
              </w:rPr>
              <w:t>工艺流程，项目存在的潜在事故风险因素主要有：</w:t>
            </w:r>
          </w:p>
          <w:p>
            <w:pPr>
              <w:spacing w:line="360" w:lineRule="auto"/>
              <w:ind w:firstLine="480" w:firstLineChars="200"/>
            </w:pPr>
            <w:r>
              <w:t>（</w:t>
            </w:r>
            <w:r>
              <w:rPr>
                <w:rFonts w:hint="eastAsia"/>
              </w:rPr>
              <w:t>1</w:t>
            </w:r>
            <w:r>
              <w:t>）无关人员在防护门关闭后未撤离手术室，射线装置开始运行，造成额外照射</w:t>
            </w:r>
            <w:r>
              <w:rPr>
                <w:rFonts w:hint="eastAsia"/>
              </w:rPr>
              <w:t>；</w:t>
            </w:r>
          </w:p>
          <w:p>
            <w:pPr>
              <w:spacing w:line="360" w:lineRule="auto"/>
              <w:ind w:firstLine="480" w:firstLineChars="200"/>
            </w:pPr>
            <w:r>
              <w:t>（</w:t>
            </w:r>
            <w:r>
              <w:rPr>
                <w:rFonts w:hint="eastAsia"/>
              </w:rPr>
              <w:t>2</w:t>
            </w:r>
            <w:r>
              <w:t>）医生在手术室内为患者摆位或进行其它术前准备工作时，控制室操作台处操作人员误开机出束，对手术室内医生造成误照射</w:t>
            </w:r>
            <w:r>
              <w:rPr>
                <w:rFonts w:hint="eastAsia"/>
              </w:rPr>
              <w:t>；</w:t>
            </w:r>
          </w:p>
          <w:p>
            <w:pPr>
              <w:spacing w:line="360" w:lineRule="auto"/>
              <w:ind w:firstLine="480" w:firstLineChars="200"/>
            </w:pPr>
            <w:r>
              <w:t>（</w:t>
            </w:r>
            <w:r>
              <w:rPr>
                <w:rFonts w:hint="eastAsia"/>
              </w:rPr>
              <w:t>3</w:t>
            </w:r>
            <w:r>
              <w:t>）介入治疗时，医生未穿戴防护用品进入手术室，或未配置合格的防护用品，使医生受到较高剂量的附加照射</w:t>
            </w:r>
            <w:r>
              <w:rPr>
                <w:rFonts w:hint="eastAsia"/>
              </w:rPr>
              <w:t>；</w:t>
            </w:r>
          </w:p>
          <w:p>
            <w:pPr>
              <w:spacing w:line="360" w:lineRule="auto"/>
              <w:ind w:firstLine="480" w:firstLineChars="200"/>
            </w:pPr>
            <w:r>
              <w:t>（</w:t>
            </w:r>
            <w:r>
              <w:rPr>
                <w:rFonts w:hint="eastAsia"/>
              </w:rPr>
              <w:t>4</w:t>
            </w:r>
            <w:r>
              <w:t>）安全警示装置发生故障时，患者门无法正常关闭，其他医护人员误入正在运行的手术室造成额外照射。</w:t>
            </w:r>
          </w:p>
          <w:p>
            <w:pPr>
              <w:spacing w:line="202" w:lineRule="auto"/>
              <w:ind w:firstLine="482" w:firstLineChars="200"/>
              <w:outlineLvl w:val="2"/>
              <w:rPr>
                <w:b/>
                <w:bCs/>
              </w:rPr>
            </w:pPr>
            <w:r>
              <w:rPr>
                <w:b/>
                <w:bCs/>
              </w:rPr>
              <w:t>11.5.2 事故情况下剂量分析</w:t>
            </w:r>
          </w:p>
          <w:p>
            <w:pPr>
              <w:autoSpaceDE w:val="0"/>
              <w:autoSpaceDN w:val="0"/>
              <w:adjustRightInd w:val="0"/>
              <w:spacing w:line="360" w:lineRule="auto"/>
              <w:ind w:firstLine="482" w:firstLineChars="200"/>
              <w:rPr>
                <w:b/>
                <w:bCs/>
              </w:rPr>
            </w:pPr>
            <w:r>
              <w:rPr>
                <w:b/>
                <w:bCs/>
              </w:rPr>
              <w:t>11.5.2.1 事故工况</w:t>
            </w:r>
          </w:p>
          <w:p>
            <w:pPr>
              <w:spacing w:line="360" w:lineRule="auto"/>
              <w:ind w:firstLine="480" w:firstLineChars="200"/>
            </w:pPr>
            <w:r>
              <w:t>数字减影血管造影</w:t>
            </w:r>
            <w:r>
              <w:rPr>
                <w:rFonts w:hint="eastAsia"/>
              </w:rPr>
              <w:t>机</w:t>
            </w:r>
            <w:r>
              <w:t>（DSA）诊断检查时，可能发生的事故风险主要是由于人员疏忽</w:t>
            </w:r>
            <w:r>
              <w:rPr>
                <w:rFonts w:hint="eastAsia"/>
              </w:rPr>
              <w:t>，</w:t>
            </w:r>
            <w:r>
              <w:t>在射线装置管理上出问题，从而对医护人员、患者以及公众造成不利影响。其次是医疗设备及其安全装置遭到破坏而产生辐射事故。</w:t>
            </w:r>
          </w:p>
          <w:p>
            <w:pPr>
              <w:autoSpaceDE w:val="0"/>
              <w:autoSpaceDN w:val="0"/>
              <w:adjustRightInd w:val="0"/>
              <w:spacing w:line="360" w:lineRule="auto"/>
              <w:ind w:firstLine="482" w:firstLineChars="200"/>
              <w:rPr>
                <w:b/>
                <w:bCs/>
              </w:rPr>
            </w:pPr>
            <w:r>
              <w:rPr>
                <w:b/>
                <w:bCs/>
              </w:rPr>
              <w:t>11.5.2.2 事故情况下的剂量分析</w:t>
            </w:r>
          </w:p>
          <w:p>
            <w:pPr>
              <w:spacing w:line="360" w:lineRule="auto"/>
              <w:ind w:firstLine="480" w:firstLineChars="200"/>
            </w:pPr>
            <w:r>
              <w:t>假设DSA设备发生事故，公众误入</w:t>
            </w:r>
            <w:r>
              <w:rPr>
                <w:rFonts w:hint="eastAsia"/>
              </w:rPr>
              <w:t>DSA手术室</w:t>
            </w:r>
            <w:r>
              <w:t>，在无任何屏蔽措施的情况下，</w:t>
            </w:r>
            <w:r>
              <w:rPr>
                <w:rFonts w:hint="eastAsia"/>
              </w:rPr>
              <w:t>在透视状态下误入人员距离辐射源点1m处泄漏剂量率为1</w:t>
            </w:r>
            <w:r>
              <w:t>.69</w:t>
            </w:r>
            <w:r>
              <w:rPr>
                <w:rFonts w:hint="eastAsia"/>
              </w:rPr>
              <w:t>×10</w:t>
            </w:r>
            <w:r>
              <w:rPr>
                <w:rFonts w:hint="eastAsia"/>
                <w:vertAlign w:val="superscript"/>
              </w:rPr>
              <w:t>4</w:t>
            </w:r>
            <w:r>
              <w:rPr>
                <w:rFonts w:hint="eastAsia"/>
              </w:rPr>
              <w:t>µSv/h，散射剂量率为</w:t>
            </w:r>
            <w:r>
              <w:t>1.01</w:t>
            </w:r>
            <w:r>
              <w:rPr>
                <w:rFonts w:hint="eastAsia"/>
              </w:rPr>
              <w:t>×10</w:t>
            </w:r>
            <w:r>
              <w:rPr>
                <w:vertAlign w:val="superscript"/>
              </w:rPr>
              <w:t>5</w:t>
            </w:r>
            <w:r>
              <w:rPr>
                <w:rFonts w:hint="eastAsia"/>
              </w:rPr>
              <w:t>µSv/h，总剂量率为1.</w:t>
            </w:r>
            <w:r>
              <w:t>18</w:t>
            </w:r>
            <w:r>
              <w:rPr>
                <w:rFonts w:hint="eastAsia"/>
              </w:rPr>
              <w:t>×10</w:t>
            </w:r>
            <w:r>
              <w:rPr>
                <w:rFonts w:hint="eastAsia"/>
                <w:vertAlign w:val="superscript"/>
              </w:rPr>
              <w:t>5</w:t>
            </w:r>
            <w:r>
              <w:rPr>
                <w:rFonts w:hint="eastAsia"/>
              </w:rPr>
              <w:t>µSv/h，本项目DSA透视最大时间为1</w:t>
            </w:r>
            <w:r>
              <w:t>4</w:t>
            </w:r>
            <w:r>
              <w:rPr>
                <w:rFonts w:hint="eastAsia"/>
              </w:rPr>
              <w:t>min，则在透视情况下距离患者1m处1</w:t>
            </w:r>
            <w:r>
              <w:t>4</w:t>
            </w:r>
            <w:r>
              <w:rPr>
                <w:rFonts w:hint="eastAsia"/>
              </w:rPr>
              <w:t>min受到的剂量为</w:t>
            </w:r>
            <w:r>
              <w:t>27.5</w:t>
            </w:r>
            <w:r>
              <w:rPr>
                <w:rFonts w:hint="eastAsia"/>
              </w:rPr>
              <w:t>mSv。在采集状态下误入人员距离辐射源点1m处泄漏剂量率为5</w:t>
            </w:r>
            <w:r>
              <w:t>.28</w:t>
            </w:r>
            <w:r>
              <w:rPr>
                <w:rFonts w:hint="eastAsia"/>
              </w:rPr>
              <w:t>×10</w:t>
            </w:r>
            <w:r>
              <w:rPr>
                <w:vertAlign w:val="superscript"/>
              </w:rPr>
              <w:t>5</w:t>
            </w:r>
            <w:r>
              <w:rPr>
                <w:rFonts w:hint="eastAsia"/>
              </w:rPr>
              <w:t>µSv/h，散射剂量率为3</w:t>
            </w:r>
            <w:r>
              <w:t>.17</w:t>
            </w:r>
            <w:r>
              <w:rPr>
                <w:rFonts w:hint="eastAsia"/>
              </w:rPr>
              <w:t>×10</w:t>
            </w:r>
            <w:r>
              <w:rPr>
                <w:vertAlign w:val="superscript"/>
              </w:rPr>
              <w:t>6</w:t>
            </w:r>
            <w:r>
              <w:rPr>
                <w:rFonts w:hint="eastAsia"/>
              </w:rPr>
              <w:t>µSv/h，总剂量率为3</w:t>
            </w:r>
            <w:r>
              <w:t>.7</w:t>
            </w:r>
            <w:r>
              <w:rPr>
                <w:rFonts w:hint="eastAsia"/>
              </w:rPr>
              <w:t>×10</w:t>
            </w:r>
            <w:r>
              <w:rPr>
                <w:vertAlign w:val="superscript"/>
              </w:rPr>
              <w:t>6</w:t>
            </w:r>
            <w:r>
              <w:rPr>
                <w:rFonts w:hint="eastAsia"/>
              </w:rPr>
              <w:t>µSv/h，本项目DSA采集最大时间为1min，则在采集情况下距离患者1m处1min受到的剂量约为</w:t>
            </w:r>
            <w:r>
              <w:t>61.7</w:t>
            </w:r>
            <w:r>
              <w:rPr>
                <w:rFonts w:hint="eastAsia"/>
              </w:rPr>
              <w:t>mSv。</w:t>
            </w:r>
          </w:p>
          <w:p>
            <w:pPr>
              <w:spacing w:line="360" w:lineRule="auto"/>
              <w:ind w:firstLine="480" w:firstLineChars="200"/>
            </w:pPr>
            <w:r>
              <w:rPr>
                <w:rFonts w:hint="eastAsia"/>
              </w:rPr>
              <w:t>由于C型臂可以切换到水平照射方式，存在X射线直接照射的可能，若误入人员受到X射线直接照射，距靶点1m处</w:t>
            </w:r>
            <w:r>
              <w:t>透视剂量率取1.69×10</w:t>
            </w:r>
            <w:r>
              <w:rPr>
                <w:vertAlign w:val="superscript"/>
              </w:rPr>
              <w:t>7</w:t>
            </w:r>
            <w:r>
              <w:t>μSv/h，采集取</w:t>
            </w:r>
            <w:r>
              <w:rPr>
                <w:rFonts w:hint="eastAsia"/>
              </w:rPr>
              <w:t>5</w:t>
            </w:r>
            <w:r>
              <w:t>.28×10</w:t>
            </w:r>
            <w:r>
              <w:rPr>
                <w:vertAlign w:val="superscript"/>
              </w:rPr>
              <w:t>8</w:t>
            </w:r>
            <w:r>
              <w:t>μSv/h，则距靶点1m处达到确定性效应阈值下限（0.1Sv）的时间分别为透视约21.3s、采集约0.68s。同理，DSA设备曝光时，手术室内有人员滞留或误入，在透视约0.02s或采集约0.0007s后，误入人员受到的剂量将高于本次评价公众的年有效剂量约束值（0.1mSv）；在透视约</w:t>
            </w:r>
            <w:r>
              <w:rPr>
                <w:rFonts w:hint="eastAsia"/>
              </w:rPr>
              <w:t>1</w:t>
            </w:r>
            <w:r>
              <w:t>.07s或采集约0.03s后，误入人员受到的剂量将高于本次评价职业人员的年有效剂量约束值（5mSv）。</w:t>
            </w:r>
          </w:p>
          <w:p>
            <w:pPr>
              <w:autoSpaceDE w:val="0"/>
              <w:autoSpaceDN w:val="0"/>
              <w:adjustRightInd w:val="0"/>
              <w:spacing w:line="360" w:lineRule="auto"/>
              <w:ind w:firstLine="480" w:firstLineChars="200"/>
              <w:rPr>
                <w:b/>
                <w:bCs/>
              </w:rPr>
            </w:pPr>
            <w:r>
              <w:rPr>
                <w:rFonts w:hint="eastAsia"/>
              </w:rPr>
              <w:t>因此，工作人员平时必须严格执行各项管理制度，严格遵守设备的操作规程，进行辐射工作前按要求穿戴好各种辐射防护用品，并定期检查机房的防护性能，及有关的安全警示标志是否正常工作，避免无关人员误入正在使用X射线装置的手术室</w:t>
            </w:r>
            <w:r>
              <w:rPr>
                <w:b/>
                <w:bCs/>
              </w:rPr>
              <w:t>11.5.3 辐射事故预防措施</w:t>
            </w:r>
          </w:p>
          <w:p>
            <w:pPr>
              <w:spacing w:line="360" w:lineRule="auto"/>
              <w:ind w:firstLine="468" w:firstLineChars="200"/>
            </w:pPr>
            <w:r>
              <w:rPr>
                <w:spacing w:val="-3"/>
              </w:rPr>
              <w:t>针对以上辐射事故，本</w:t>
            </w:r>
            <w:r>
              <w:rPr>
                <w:rFonts w:hint="eastAsia"/>
                <w:spacing w:val="-3"/>
              </w:rPr>
              <w:t>次环评</w:t>
            </w:r>
            <w:r>
              <w:rPr>
                <w:spacing w:val="-3"/>
              </w:rPr>
              <w:t>提出以下预防措施以避免辐射事故发生：</w:t>
            </w:r>
          </w:p>
          <w:p>
            <w:pPr>
              <w:spacing w:line="360" w:lineRule="auto"/>
              <w:ind w:firstLine="464" w:firstLineChars="200"/>
            </w:pPr>
            <w:r>
              <w:rPr>
                <w:spacing w:val="-4"/>
              </w:rPr>
              <w:t>（1）定期对</w:t>
            </w:r>
            <w:r>
              <w:t>数字减影血管造影</w:t>
            </w:r>
            <w:r>
              <w:rPr>
                <w:rFonts w:hint="eastAsia"/>
              </w:rPr>
              <w:t>机</w:t>
            </w:r>
            <w:r>
              <w:t>（DSA）</w:t>
            </w:r>
            <w:r>
              <w:rPr>
                <w:spacing w:val="-4"/>
              </w:rPr>
              <w:t>的安全和防护措施进行检查，对发现的安全隐患及时采取有效措施，妥善处置</w:t>
            </w:r>
            <w:r>
              <w:rPr>
                <w:rFonts w:hint="eastAsia"/>
                <w:spacing w:val="-4"/>
              </w:rPr>
              <w:t>；</w:t>
            </w:r>
          </w:p>
          <w:p>
            <w:pPr>
              <w:pStyle w:val="2"/>
              <w:ind w:firstLine="460"/>
              <w:rPr>
                <w:rFonts w:eastAsiaTheme="minorEastAsia"/>
                <w:spacing w:val="-7"/>
              </w:rPr>
            </w:pPr>
            <w:r>
              <w:rPr>
                <w:spacing w:val="-5"/>
              </w:rPr>
              <w:t>（2）加强放射工作人员的管理与业务培训，确认各项管理制度的执行情况。</w:t>
            </w:r>
            <w:r>
              <w:rPr>
                <w:spacing w:val="-7"/>
              </w:rPr>
              <w:t>除存</w:t>
            </w:r>
          </w:p>
          <w:p>
            <w:pPr>
              <w:spacing w:line="360" w:lineRule="auto"/>
            </w:pPr>
            <w:r>
              <w:rPr>
                <w:spacing w:val="-7"/>
              </w:rPr>
              <w:t>在临床不可接受的情况下，图像采集时工作人员应尽量不在机房内停留；对</w:t>
            </w:r>
            <w:r>
              <w:rPr>
                <w:spacing w:val="-6"/>
              </w:rPr>
              <w:t>患者实施照射时，禁止与诊疗无关的其他人员在机房内停留。针对</w:t>
            </w:r>
            <w:r>
              <w:t>数字减影血管造影</w:t>
            </w:r>
            <w:r>
              <w:rPr>
                <w:rFonts w:hint="eastAsia"/>
              </w:rPr>
              <w:t>机</w:t>
            </w:r>
            <w:r>
              <w:t>（DSA）</w:t>
            </w:r>
            <w:r>
              <w:rPr>
                <w:spacing w:val="-6"/>
              </w:rPr>
              <w:t>制定相</w:t>
            </w:r>
            <w:r>
              <w:rPr>
                <w:spacing w:val="-9"/>
              </w:rPr>
              <w:t>关的操作规程，并做到“制度上墙”（即将操作规程张贴在控制室醒目位置</w:t>
            </w:r>
            <w:r>
              <w:rPr>
                <w:spacing w:val="1"/>
              </w:rPr>
              <w:t>）</w:t>
            </w:r>
            <w:r>
              <w:rPr>
                <w:color w:val="000000" w:themeColor="text1"/>
                <w:spacing w:val="1"/>
                <w14:textFill>
                  <w14:solidFill>
                    <w14:schemeClr w14:val="tx1"/>
                  </w14:solidFill>
                </w14:textFill>
              </w:rPr>
              <w:t>，</w:t>
            </w:r>
            <w:r>
              <w:rPr>
                <w:rFonts w:hint="eastAsia"/>
                <w:color w:val="000000" w:themeColor="text1"/>
                <w:spacing w:val="-4"/>
                <w14:textFill>
                  <w14:solidFill>
                    <w14:schemeClr w14:val="tx1"/>
                  </w14:solidFill>
                </w14:textFill>
              </w:rPr>
              <w:t>辐射工作人员</w:t>
            </w:r>
            <w:r>
              <w:rPr>
                <w:color w:val="000000" w:themeColor="text1"/>
                <w:spacing w:val="-4"/>
                <w14:textFill>
                  <w14:solidFill>
                    <w14:schemeClr w14:val="tx1"/>
                  </w14:solidFill>
                </w14:textFill>
              </w:rPr>
              <w:t>必须严格按照操作规程进行操作，以避免因误操作造成工作人员和</w:t>
            </w:r>
            <w:r>
              <w:rPr>
                <w:color w:val="000000" w:themeColor="text1"/>
                <w:spacing w:val="-5"/>
                <w14:textFill>
                  <w14:solidFill>
                    <w14:schemeClr w14:val="tx1"/>
                  </w14:solidFill>
                </w14:textFill>
              </w:rPr>
              <w:t>公众受到</w:t>
            </w:r>
            <w:r>
              <w:rPr>
                <w:spacing w:val="-5"/>
              </w:rPr>
              <w:t>意外辐射</w:t>
            </w:r>
            <w:r>
              <w:rPr>
                <w:rFonts w:hint="eastAsia"/>
                <w:spacing w:val="-5"/>
              </w:rPr>
              <w:t>；</w:t>
            </w:r>
          </w:p>
          <w:p>
            <w:pPr>
              <w:spacing w:line="360" w:lineRule="auto"/>
              <w:ind w:firstLine="456" w:firstLineChars="200"/>
              <w:outlineLvl w:val="2"/>
              <w:rPr>
                <w:spacing w:val="-5"/>
              </w:rPr>
            </w:pPr>
            <w:r>
              <w:rPr>
                <w:spacing w:val="-6"/>
              </w:rPr>
              <w:t>（3）射线装置发生故障而紧急停机后，在未查明原因和维修结束前，不得</w:t>
            </w:r>
            <w:r>
              <w:rPr>
                <w:spacing w:val="-5"/>
              </w:rPr>
              <w:t>重新启动射线装置</w:t>
            </w:r>
            <w:r>
              <w:rPr>
                <w:rFonts w:hint="eastAsia"/>
                <w:spacing w:val="-5"/>
              </w:rPr>
              <w:t>；</w:t>
            </w:r>
          </w:p>
          <w:p>
            <w:pPr>
              <w:spacing w:line="360" w:lineRule="auto"/>
              <w:ind w:firstLine="480" w:firstLineChars="200"/>
              <w:rPr>
                <w:color w:val="000000"/>
              </w:rPr>
            </w:pPr>
            <w:r>
              <w:rPr>
                <w:color w:val="000000"/>
              </w:rPr>
              <w:t>（4）介入医生做好个人防护，介入手术前配备必要的铅围裙、铅颈套、铅眼睛、介入防护手套、铅悬挂防护屏或铅防护吊帘、床侧防护帘等防护用品。同时按照GBZ128规定正确佩戴个人剂量计</w:t>
            </w:r>
            <w:r>
              <w:rPr>
                <w:rFonts w:hint="eastAsia"/>
                <w:color w:val="000000"/>
              </w:rPr>
              <w:t>；</w:t>
            </w:r>
          </w:p>
          <w:p>
            <w:pPr>
              <w:spacing w:line="360" w:lineRule="auto"/>
              <w:ind w:firstLine="480" w:firstLineChars="200"/>
              <w:rPr>
                <w:color w:val="000000"/>
              </w:rPr>
            </w:pPr>
            <w:r>
              <w:rPr>
                <w:color w:val="000000"/>
              </w:rPr>
              <w:t>（5）</w:t>
            </w:r>
            <w:r>
              <w:rPr>
                <w:rFonts w:hint="eastAsia"/>
                <w:color w:val="000000" w:themeColor="text1"/>
                <w14:textFill>
                  <w14:solidFill>
                    <w14:schemeClr w14:val="tx1"/>
                  </w14:solidFill>
                </w14:textFill>
              </w:rPr>
              <w:t>DSA手术室</w:t>
            </w:r>
            <w:r>
              <w:rPr>
                <w:color w:val="000000"/>
              </w:rPr>
              <w:t>门外明显处应设置电离辐射警示标志，并安装醒目的工作状态指示灯。定期检查门灯联锁装置，确保装置正常运行，防止人员误入</w:t>
            </w:r>
            <w:r>
              <w:rPr>
                <w:rFonts w:hint="eastAsia"/>
                <w:color w:val="000000"/>
              </w:rPr>
              <w:t>；</w:t>
            </w:r>
          </w:p>
          <w:p>
            <w:pPr>
              <w:pStyle w:val="2"/>
              <w:ind w:firstLine="480"/>
              <w:rPr>
                <w:rFonts w:eastAsia="宋体"/>
                <w:color w:val="000000"/>
              </w:rPr>
            </w:pPr>
            <w:r>
              <w:rPr>
                <w:rFonts w:eastAsia="宋体"/>
                <w:color w:val="000000"/>
              </w:rPr>
              <w:t>（6）定期对辐射工作场所的安全防护装置进行维护、保养。配备必要的辐射监测仪器，对工作场所实施必要辐射环境监测，及时发现使用过程中可能存在的射</w:t>
            </w:r>
          </w:p>
          <w:p>
            <w:pPr>
              <w:spacing w:line="360" w:lineRule="auto"/>
              <w:rPr>
                <w:color w:val="000000"/>
              </w:rPr>
            </w:pPr>
            <w:r>
              <w:rPr>
                <w:color w:val="000000"/>
              </w:rPr>
              <w:t>线的泄漏</w:t>
            </w:r>
            <w:r>
              <w:rPr>
                <w:rFonts w:hint="eastAsia"/>
                <w:color w:val="000000"/>
              </w:rPr>
              <w:t>；</w:t>
            </w:r>
          </w:p>
          <w:p>
            <w:pPr>
              <w:spacing w:after="120" w:line="360" w:lineRule="auto"/>
              <w:ind w:firstLine="482"/>
              <w:rPr>
                <w:rFonts w:eastAsiaTheme="minorEastAsia"/>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7</w:t>
            </w:r>
            <w:r>
              <w:rPr>
                <w:rFonts w:hint="eastAsia" w:hAnsi="宋体"/>
                <w:color w:val="000000" w:themeColor="text1"/>
                <w14:textFill>
                  <w14:solidFill>
                    <w14:schemeClr w14:val="tx1"/>
                  </w14:solidFill>
                </w14:textFill>
              </w:rPr>
              <w:t>）</w:t>
            </w:r>
            <w:r>
              <w:rPr>
                <w:color w:val="000000" w:themeColor="text1"/>
                <w14:textFill>
                  <w14:solidFill>
                    <w14:schemeClr w14:val="tx1"/>
                  </w14:solidFill>
                </w14:textFill>
              </w:rPr>
              <w:t>数字减影血管造影</w:t>
            </w:r>
            <w:r>
              <w:rPr>
                <w:rFonts w:hint="eastAsia"/>
                <w:color w:val="000000" w:themeColor="text1"/>
                <w14:textFill>
                  <w14:solidFill>
                    <w14:schemeClr w14:val="tx1"/>
                  </w14:solidFill>
                </w14:textFill>
              </w:rPr>
              <w:t>机</w:t>
            </w:r>
            <w:r>
              <w:rPr>
                <w:color w:val="000000" w:themeColor="text1"/>
                <w14:textFill>
                  <w14:solidFill>
                    <w14:schemeClr w14:val="tx1"/>
                  </w14:solidFill>
                </w14:textFill>
              </w:rPr>
              <w:t>（DSA）</w:t>
            </w:r>
            <w:r>
              <w:rPr>
                <w:rFonts w:hint="eastAsia" w:hAnsi="宋体"/>
                <w:color w:val="000000" w:themeColor="text1"/>
                <w14:textFill>
                  <w14:solidFill>
                    <w14:schemeClr w14:val="tx1"/>
                  </w14:solidFill>
                </w14:textFill>
              </w:rPr>
              <w:t>应具有记录患者剂量的装置，并尽可能将每次诊断后患者受照剂量记录在病历中，需要时，应能追溯到患者的受照剂量；</w:t>
            </w:r>
          </w:p>
          <w:p>
            <w:pPr>
              <w:spacing w:line="360" w:lineRule="auto"/>
              <w:ind w:firstLine="480" w:firstLineChars="200"/>
              <w:rPr>
                <w:color w:val="000000"/>
              </w:rPr>
            </w:pPr>
            <w:r>
              <w:rPr>
                <w:color w:val="000000"/>
              </w:rPr>
              <w:t>（8）辐射应急管理机构应对本项目的应急组织人员、救护计划和方法、救护器材和设备以及联络方式进行明确布置和安排，一旦事故发生时可立即执行</w:t>
            </w:r>
            <w:r>
              <w:rPr>
                <w:rFonts w:hint="eastAsia"/>
                <w:color w:val="000000"/>
              </w:rPr>
              <w:t>；</w:t>
            </w:r>
          </w:p>
          <w:p>
            <w:pPr>
              <w:tabs>
                <w:tab w:val="center" w:pos="4153"/>
                <w:tab w:val="right" w:pos="8306"/>
              </w:tabs>
              <w:spacing w:line="360" w:lineRule="auto"/>
              <w:ind w:firstLine="480" w:firstLineChars="200"/>
              <w:rPr>
                <w:sz w:val="18"/>
                <w:szCs w:val="18"/>
              </w:rPr>
            </w:pPr>
            <w:r>
              <w:rPr>
                <w:color w:val="000000"/>
              </w:rPr>
              <w:t>（9）医院应不断完善辐射事故应急预案，并</w:t>
            </w:r>
            <w:r>
              <w:rPr>
                <w:rFonts w:hint="eastAsia"/>
                <w:color w:val="000000"/>
              </w:rPr>
              <w:t>定期组织医护人员</w:t>
            </w:r>
            <w:r>
              <w:rPr>
                <w:color w:val="000000"/>
              </w:rPr>
              <w:t>加强应急演练</w:t>
            </w:r>
            <w:r>
              <w:rPr>
                <w:rFonts w:hint="eastAsia"/>
                <w:color w:val="000000"/>
              </w:rPr>
              <w:t>。</w:t>
            </w:r>
          </w:p>
          <w:p>
            <w:pPr>
              <w:autoSpaceDE w:val="0"/>
              <w:autoSpaceDN w:val="0"/>
              <w:adjustRightInd w:val="0"/>
              <w:spacing w:line="360" w:lineRule="auto"/>
              <w:ind w:firstLine="482" w:firstLineChars="200"/>
              <w:rPr>
                <w:b/>
                <w:bCs/>
              </w:rPr>
            </w:pPr>
            <w:r>
              <w:rPr>
                <w:b/>
                <w:bCs/>
              </w:rPr>
              <w:t>11.5.4 辐射事故应急处理措施</w:t>
            </w:r>
          </w:p>
          <w:p>
            <w:pPr>
              <w:snapToGrid w:val="0"/>
              <w:spacing w:line="360" w:lineRule="auto"/>
              <w:ind w:firstLine="460" w:firstLineChars="200"/>
            </w:pPr>
            <w:r>
              <w:rPr>
                <w:spacing w:val="-5"/>
              </w:rPr>
              <w:t>一旦发生辐射事故，处理的原则是：</w:t>
            </w:r>
          </w:p>
          <w:p>
            <w:pPr>
              <w:snapToGrid w:val="0"/>
              <w:spacing w:line="360" w:lineRule="auto"/>
              <w:ind w:firstLine="464" w:firstLineChars="200"/>
            </w:pPr>
            <w:r>
              <w:rPr>
                <w:spacing w:val="-4"/>
              </w:rPr>
              <w:t>（1）第一时间断开电源，停止X射线的产生</w:t>
            </w:r>
            <w:r>
              <w:rPr>
                <w:rFonts w:hint="eastAsia"/>
                <w:spacing w:val="-4"/>
              </w:rPr>
              <w:t>；</w:t>
            </w:r>
          </w:p>
          <w:p>
            <w:pPr>
              <w:snapToGrid w:val="0"/>
              <w:spacing w:line="360" w:lineRule="auto"/>
              <w:ind w:firstLine="480" w:firstLineChars="200"/>
            </w:pPr>
            <w:r>
              <w:t>（2）及时检查、估算受照人员的受照剂量，如果受照剂量较高，应及时安</w:t>
            </w:r>
            <w:r>
              <w:rPr>
                <w:spacing w:val="-4"/>
              </w:rPr>
              <w:t>置受照人员</w:t>
            </w:r>
            <w:r>
              <w:rPr>
                <w:rFonts w:hint="eastAsia"/>
                <w:spacing w:val="-4"/>
              </w:rPr>
              <w:t>；</w:t>
            </w:r>
          </w:p>
          <w:p>
            <w:pPr>
              <w:snapToGrid w:val="0"/>
              <w:spacing w:line="360" w:lineRule="auto"/>
              <w:ind w:firstLine="456" w:firstLineChars="200"/>
            </w:pPr>
            <w:r>
              <w:rPr>
                <w:spacing w:val="-6"/>
              </w:rPr>
              <w:t>（3）及时处理，出现事故后，应尽快集中人力、物力，有组织、有计划的</w:t>
            </w:r>
            <w:r>
              <w:rPr>
                <w:spacing w:val="-3"/>
              </w:rPr>
              <w:t>进行处理，缩小事故影响，减少事故损失</w:t>
            </w:r>
            <w:r>
              <w:rPr>
                <w:rFonts w:hint="eastAsia"/>
                <w:spacing w:val="-3"/>
              </w:rPr>
              <w:t>；</w:t>
            </w:r>
          </w:p>
          <w:p>
            <w:pPr>
              <w:snapToGrid w:val="0"/>
              <w:spacing w:line="360" w:lineRule="auto"/>
              <w:ind w:firstLine="460" w:firstLineChars="200"/>
            </w:pPr>
            <w:r>
              <w:rPr>
                <w:spacing w:val="-5"/>
              </w:rPr>
              <w:t>（4）在事故处理过程中，要在可合理做到的条件下，尽可能减少人员照射</w:t>
            </w:r>
            <w:r>
              <w:rPr>
                <w:rFonts w:hint="eastAsia"/>
                <w:spacing w:val="-5"/>
              </w:rPr>
              <w:t>；</w:t>
            </w:r>
          </w:p>
          <w:p>
            <w:pPr>
              <w:snapToGrid w:val="0"/>
              <w:spacing w:line="360" w:lineRule="auto"/>
              <w:ind w:firstLine="460" w:firstLineChars="200"/>
            </w:pPr>
            <w:r>
              <w:rPr>
                <w:spacing w:val="-5"/>
              </w:rPr>
              <w:t>（5）事故处理后应收集资料，及时总结报告。医院对于辐射事故进行记录，</w:t>
            </w:r>
            <w:r>
              <w:rPr>
                <w:spacing w:val="-3"/>
              </w:rPr>
              <w:t>包括事故发生的时间和地点、所有涉及的事故责任人和受害者名单、对任何可能受到照射的人员所做的辐射剂量估算结果、所做的任何医学检查及结果、采取的</w:t>
            </w:r>
            <w:r>
              <w:rPr>
                <w:spacing w:val="-2"/>
              </w:rPr>
              <w:t>任何纠正措施、事故的可能原因、为防止类似事件再次发生所采取的措施</w:t>
            </w:r>
            <w:r>
              <w:rPr>
                <w:rFonts w:hint="eastAsia"/>
                <w:spacing w:val="-2"/>
              </w:rPr>
              <w:t>；</w:t>
            </w:r>
          </w:p>
          <w:p>
            <w:pPr>
              <w:snapToGrid w:val="0"/>
              <w:spacing w:line="360" w:lineRule="auto"/>
              <w:ind w:firstLine="480" w:firstLineChars="200"/>
            </w:pPr>
            <w:r>
              <w:t>（6）对可能发生的辐射事故，应采取措施避免事故的发生。制定相关制度</w:t>
            </w:r>
            <w:r>
              <w:rPr>
                <w:spacing w:val="-3"/>
              </w:rPr>
              <w:t>在事故发生时能妥善处理，以减少和控制事故的危害影响，并接受监督部门的处理。同时上报生态环境主管部门和卫生部门。当发生辐射照射事故时，应在第一时间通报当地生态环境主管部门和公安部门。</w:t>
            </w:r>
          </w:p>
          <w:p>
            <w:pPr>
              <w:spacing w:line="360" w:lineRule="auto"/>
              <w:rPr>
                <w:rFonts w:ascii="宋体" w:hAnsi="宋体"/>
                <w:b/>
                <w:color w:val="000000"/>
                <w:sz w:val="28"/>
                <w:szCs w:val="28"/>
              </w:rPr>
            </w:pPr>
            <w:r>
              <w:rPr>
                <w:b/>
                <w:color w:val="000000"/>
                <w:sz w:val="28"/>
                <w:szCs w:val="28"/>
              </w:rPr>
              <w:t>11.6</w:t>
            </w:r>
            <w:r>
              <w:rPr>
                <w:rFonts w:hint="eastAsia" w:ascii="宋体" w:hAnsi="宋体"/>
                <w:b/>
                <w:color w:val="000000"/>
                <w:sz w:val="28"/>
                <w:szCs w:val="28"/>
              </w:rPr>
              <w:t>辐射环境影响评价</w:t>
            </w:r>
          </w:p>
          <w:p>
            <w:pPr>
              <w:spacing w:after="120" w:line="360" w:lineRule="auto"/>
              <w:ind w:firstLine="480" w:firstLineChars="200"/>
              <w:rPr>
                <w:color w:val="000000"/>
              </w:rPr>
            </w:pPr>
            <w:r>
              <w:rPr>
                <w:rFonts w:hint="eastAsia"/>
                <w:bCs/>
                <w:color w:val="000000"/>
              </w:rPr>
              <w:t>通用环球中铁西安医院数字减影血管造影机核技术利用项目</w:t>
            </w:r>
            <w:r>
              <w:rPr>
                <w:bCs/>
                <w:color w:val="000000"/>
              </w:rPr>
              <w:t>正常运行时，工作场所及周边环境辐射环境影响满足相关标准限值要求；项目正常运行所致辐射工作人员、公众年附加有效剂量满足本次评价的剂量约束值要求；项目选址可行、平面布置基本合理。评价认为：</w:t>
            </w:r>
            <w:r>
              <w:rPr>
                <w:rFonts w:hint="eastAsia"/>
                <w:bCs/>
                <w:color w:val="000000"/>
              </w:rPr>
              <w:t>通用环球中铁西安医院数字减影血管造影机核技术利用项目</w:t>
            </w:r>
            <w:r>
              <w:rPr>
                <w:bCs/>
                <w:color w:val="000000"/>
              </w:rPr>
              <w:t>对周围环境的辐射影响在可接受范围之内。</w:t>
            </w:r>
          </w:p>
          <w:p>
            <w:pPr>
              <w:pStyle w:val="2"/>
              <w:ind w:firstLine="480"/>
              <w:rPr>
                <w:rFonts w:eastAsia="宋体"/>
                <w:color w:val="000000"/>
              </w:rPr>
            </w:pPr>
          </w:p>
          <w:p>
            <w:pPr>
              <w:pStyle w:val="2"/>
              <w:ind w:firstLine="480"/>
              <w:rPr>
                <w:rFonts w:eastAsia="宋体"/>
                <w:color w:val="000000"/>
              </w:rPr>
            </w:pPr>
          </w:p>
          <w:p>
            <w:pPr>
              <w:pStyle w:val="2"/>
              <w:ind w:firstLine="0" w:firstLineChars="0"/>
              <w:rPr>
                <w:rFonts w:eastAsiaTheme="minorEastAsia"/>
              </w:rPr>
            </w:pPr>
          </w:p>
          <w:p>
            <w:pPr>
              <w:pStyle w:val="2"/>
              <w:ind w:firstLine="0" w:firstLineChars="0"/>
              <w:rPr>
                <w:rFonts w:eastAsiaTheme="minorEastAsia"/>
              </w:rPr>
            </w:pPr>
          </w:p>
          <w:p>
            <w:pPr>
              <w:pStyle w:val="2"/>
              <w:ind w:firstLine="0" w:firstLineChars="0"/>
              <w:rPr>
                <w:rFonts w:eastAsiaTheme="minorEastAsia"/>
              </w:rPr>
            </w:pPr>
          </w:p>
          <w:p>
            <w:pPr>
              <w:pStyle w:val="2"/>
              <w:ind w:firstLine="0" w:firstLineChars="0"/>
              <w:rPr>
                <w:rFonts w:eastAsiaTheme="minorEastAsia"/>
              </w:rPr>
            </w:pPr>
          </w:p>
          <w:p>
            <w:pPr>
              <w:pStyle w:val="2"/>
              <w:ind w:firstLine="0" w:firstLineChars="0"/>
              <w:rPr>
                <w:rFonts w:eastAsiaTheme="minorEastAsia"/>
              </w:rPr>
            </w:pPr>
          </w:p>
          <w:p>
            <w:pPr>
              <w:pStyle w:val="2"/>
              <w:ind w:firstLine="0" w:firstLineChars="0"/>
              <w:rPr>
                <w:rFonts w:eastAsiaTheme="minorEastAsia"/>
              </w:rPr>
            </w:pPr>
          </w:p>
          <w:p>
            <w:pPr>
              <w:pStyle w:val="2"/>
              <w:ind w:firstLine="0" w:firstLineChars="0"/>
              <w:rPr>
                <w:rFonts w:eastAsiaTheme="minorEastAsia"/>
              </w:rPr>
            </w:pPr>
          </w:p>
          <w:p>
            <w:pPr>
              <w:pStyle w:val="2"/>
              <w:ind w:firstLine="0" w:firstLineChars="0"/>
              <w:rPr>
                <w:rFonts w:eastAsiaTheme="minorEastAsia"/>
              </w:rPr>
            </w:pPr>
          </w:p>
        </w:tc>
      </w:tr>
    </w:tbl>
    <w:p>
      <w:pPr>
        <w:pStyle w:val="43"/>
        <w:jc w:val="both"/>
        <w:sectPr>
          <w:pgSz w:w="11906" w:h="16838"/>
          <w:pgMar w:top="1440" w:right="1440" w:bottom="1440" w:left="1440" w:header="851" w:footer="992" w:gutter="0"/>
          <w:pgBorders>
            <w:top w:val="none" w:sz="0" w:space="0"/>
            <w:left w:val="none" w:sz="0" w:space="0"/>
            <w:bottom w:val="none" w:sz="0" w:space="0"/>
            <w:right w:val="none" w:sz="0" w:space="0"/>
          </w:pgBorders>
          <w:pgNumType w:fmt="numberInDash"/>
          <w:cols w:space="720" w:num="1"/>
          <w:docGrid w:type="lines" w:linePitch="334" w:charSpace="0"/>
        </w:sectPr>
      </w:pPr>
    </w:p>
    <w:p>
      <w:pPr>
        <w:pStyle w:val="3"/>
        <w:rPr>
          <w:b w:val="0"/>
          <w:bCs w:val="0"/>
          <w:color w:val="000000"/>
          <w:sz w:val="28"/>
          <w:szCs w:val="28"/>
        </w:rPr>
      </w:pPr>
      <w:bookmarkStart w:id="33" w:name="_Toc27081"/>
      <w:r>
        <w:rPr>
          <w:color w:val="000000"/>
          <w:sz w:val="28"/>
          <w:szCs w:val="28"/>
        </w:rPr>
        <w:t>表12 辐射安全管理</w:t>
      </w:r>
      <w:bookmarkEnd w:id="33"/>
    </w:p>
    <w:bookmarkEnd w:id="32"/>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2" w:type="dxa"/>
          </w:tcPr>
          <w:p>
            <w:pPr>
              <w:adjustRightInd w:val="0"/>
              <w:snapToGrid w:val="0"/>
              <w:spacing w:line="360" w:lineRule="auto"/>
              <w:rPr>
                <w:b/>
                <w:bCs/>
                <w:color w:val="000000"/>
                <w:sz w:val="28"/>
                <w:szCs w:val="28"/>
              </w:rPr>
            </w:pPr>
            <w:bookmarkStart w:id="34" w:name="_Toc501805945"/>
            <w:r>
              <w:rPr>
                <w:b/>
                <w:bCs/>
                <w:color w:val="000000"/>
                <w:sz w:val="28"/>
                <w:szCs w:val="28"/>
              </w:rPr>
              <w:t>12.1 辐射安全与环境保护管理机构的设置</w:t>
            </w:r>
          </w:p>
          <w:p>
            <w:pPr>
              <w:pStyle w:val="2"/>
              <w:ind w:firstLine="480"/>
              <w:rPr>
                <w:rFonts w:eastAsia="宋体"/>
                <w:color w:val="000000"/>
                <w:kern w:val="0"/>
              </w:rPr>
            </w:pPr>
            <w:r>
              <w:rPr>
                <w:rFonts w:eastAsia="宋体"/>
                <w:color w:val="000000"/>
                <w:kern w:val="0"/>
              </w:rPr>
              <w:t>为了保证项目设备调试和运行期的辐射防护措施的落实情况，指导和督促从事放射活动的科室和人员做好辐射安全和放射防护工作，医院应按照《中华人民共和国环境保护法》《放射性同位素与射线装置安全和防护条例》《放射性同位素与射线装置安全许可管理办法》《放射性同位素与射线装置安全和防护管理办法》等要求，成立</w:t>
            </w:r>
            <w:r>
              <w:rPr>
                <w:rFonts w:hint="eastAsia" w:eastAsia="宋体"/>
                <w:color w:val="000000"/>
                <w:kern w:val="0"/>
              </w:rPr>
              <w:t>辐射安全与环境保护管理机构</w:t>
            </w:r>
            <w:r>
              <w:rPr>
                <w:rFonts w:eastAsia="宋体"/>
                <w:color w:val="000000"/>
                <w:kern w:val="0"/>
              </w:rPr>
              <w:t>，负责解决实践中出现的各种辐射安全与防护问题，确保射线</w:t>
            </w:r>
            <w:r>
              <w:rPr>
                <w:rFonts w:hint="eastAsia" w:eastAsia="宋体"/>
                <w:color w:val="000000"/>
                <w:kern w:val="0"/>
              </w:rPr>
              <w:t>装置</w:t>
            </w:r>
            <w:r>
              <w:rPr>
                <w:rFonts w:eastAsia="宋体"/>
                <w:color w:val="000000"/>
                <w:kern w:val="0"/>
              </w:rPr>
              <w:t>的正常运行。同时，设立专（兼）职辐射安全管理人员，负责对射线装置的常规检查和手术室的辐射防护与安全工作，开展业务培训，组织应急演练，接受上级主管部门和卫生部门的检查。</w:t>
            </w:r>
          </w:p>
          <w:p>
            <w:pPr>
              <w:pStyle w:val="2"/>
              <w:ind w:firstLine="480"/>
              <w:rPr>
                <w:rFonts w:eastAsia="宋体"/>
                <w:color w:val="000000"/>
                <w:kern w:val="0"/>
              </w:rPr>
            </w:pPr>
            <w:r>
              <w:rPr>
                <w:rFonts w:hint="eastAsia" w:eastAsia="宋体"/>
                <w:color w:val="000000"/>
                <w:kern w:val="0"/>
              </w:rPr>
              <w:t>通用环球中铁西安医院已根据陕西省生态环境厅核技术利用单位辐射安全管理标准化建设相关要求，成立了以医院副院长赵芳仍为组长，质控办主任为副组长，领导1</w:t>
            </w:r>
            <w:r>
              <w:rPr>
                <w:rFonts w:eastAsia="宋体"/>
                <w:color w:val="000000"/>
                <w:kern w:val="0"/>
              </w:rPr>
              <w:t>2</w:t>
            </w:r>
            <w:r>
              <w:rPr>
                <w:rFonts w:hint="eastAsia" w:eastAsia="宋体"/>
                <w:color w:val="000000"/>
                <w:kern w:val="0"/>
              </w:rPr>
              <w:t>名组员的通用环球中铁西安医院辐射卫生管理机构及领导小组，明确了小组成员以及职责。</w:t>
            </w:r>
            <w:r>
              <w:rPr>
                <w:rFonts w:hint="eastAsia" w:ascii="宋体" w:hAnsi="宋体" w:eastAsia="宋体" w:cs="宋体"/>
                <w:color w:val="000000"/>
              </w:rPr>
              <w:t>医院</w:t>
            </w:r>
            <w:r>
              <w:rPr>
                <w:rFonts w:hint="eastAsia" w:ascii="宋体" w:hAnsi="宋体" w:eastAsia="宋体" w:cs="宋体"/>
                <w:color w:val="000000"/>
                <w:kern w:val="0"/>
              </w:rPr>
              <w:t>以正式文件明确的放射安全与防护</w:t>
            </w:r>
            <w:r>
              <w:rPr>
                <w:rFonts w:hint="eastAsia" w:ascii="宋体" w:hAnsi="宋体" w:eastAsia="宋体" w:cs="宋体"/>
                <w:color w:val="000000"/>
              </w:rPr>
              <w:t>管理委员会</w:t>
            </w:r>
            <w:r>
              <w:rPr>
                <w:rFonts w:hint="eastAsia" w:ascii="宋体" w:hAnsi="宋体" w:eastAsia="宋体" w:cs="宋体"/>
                <w:color w:val="000000"/>
                <w:kern w:val="0"/>
              </w:rPr>
              <w:t>相关工作职责如下：</w:t>
            </w:r>
          </w:p>
          <w:p>
            <w:pPr>
              <w:spacing w:line="360" w:lineRule="auto"/>
              <w:ind w:firstLine="480" w:firstLineChars="200"/>
              <w:rPr>
                <w:color w:val="000000"/>
              </w:rPr>
            </w:pPr>
            <w:r>
              <w:rPr>
                <w:rFonts w:hint="eastAsia"/>
                <w:color w:val="000000"/>
              </w:rPr>
              <w:t>1.组织贯彻落实国家和地方政府有关辐射安全与防护工作的方针、政策；</w:t>
            </w:r>
          </w:p>
          <w:p>
            <w:pPr>
              <w:spacing w:line="360" w:lineRule="auto"/>
              <w:ind w:firstLine="480" w:firstLineChars="200"/>
              <w:rPr>
                <w:color w:val="000000"/>
              </w:rPr>
            </w:pPr>
            <w:r>
              <w:rPr>
                <w:rFonts w:hint="eastAsia"/>
                <w:color w:val="000000"/>
              </w:rPr>
              <w:t>2.定期召开会议，听取辐射安全与环境保护工作情况汇报，讨论决定辐射安全与防护工作中的重大问题和采取的措施；</w:t>
            </w:r>
          </w:p>
          <w:p>
            <w:pPr>
              <w:spacing w:line="360" w:lineRule="auto"/>
              <w:ind w:firstLine="480" w:firstLineChars="200"/>
              <w:rPr>
                <w:color w:val="000000"/>
              </w:rPr>
            </w:pPr>
            <w:r>
              <w:rPr>
                <w:rFonts w:hint="eastAsia"/>
                <w:color w:val="000000"/>
              </w:rPr>
              <w:t>3.组织开展对射线装置安全检查活动，组织处理通报事故；</w:t>
            </w:r>
          </w:p>
          <w:p>
            <w:pPr>
              <w:spacing w:line="360" w:lineRule="auto"/>
              <w:ind w:firstLine="480" w:firstLineChars="200"/>
              <w:rPr>
                <w:color w:val="000000"/>
              </w:rPr>
            </w:pPr>
            <w:r>
              <w:rPr>
                <w:rFonts w:hint="eastAsia"/>
                <w:color w:val="000000"/>
              </w:rPr>
              <w:t>4.组织制定和完善射线装置管理制度和操作规程，监督检查各规章制度的执行，督促整改辐射事故隐患。</w:t>
            </w:r>
          </w:p>
          <w:p>
            <w:pPr>
              <w:spacing w:line="360" w:lineRule="auto"/>
              <w:ind w:firstLine="480" w:firstLineChars="200"/>
              <w:rPr>
                <w:color w:val="000000"/>
              </w:rPr>
            </w:pPr>
            <w:r>
              <w:rPr>
                <w:color w:val="000000"/>
              </w:rPr>
              <w:t>医院现有</w:t>
            </w:r>
            <w:r>
              <w:rPr>
                <w:color w:val="000000"/>
                <w:kern w:val="0"/>
              </w:rPr>
              <w:t>放射安全与防护管理</w:t>
            </w:r>
            <w:r>
              <w:rPr>
                <w:color w:val="000000"/>
              </w:rPr>
              <w:t>委员会人员配备和相关人员职责，能够满足对</w:t>
            </w:r>
            <w:r>
              <w:rPr>
                <w:bCs/>
                <w:color w:val="000000"/>
              </w:rPr>
              <w:t>辐射安全与环境保护管理机构设置的管理</w:t>
            </w:r>
            <w:r>
              <w:rPr>
                <w:color w:val="000000"/>
              </w:rPr>
              <w:t>要求，本次</w:t>
            </w:r>
            <w:r>
              <w:rPr>
                <w:rFonts w:hint="eastAsia"/>
                <w:color w:val="000000"/>
              </w:rPr>
              <w:t>改</w:t>
            </w:r>
            <w:r>
              <w:rPr>
                <w:color w:val="000000"/>
              </w:rPr>
              <w:t>建项目投入使用后，将其纳入医院现有管理体系，并根据人事变动情况及时调整人员名单，明确相关人员职责。</w:t>
            </w:r>
            <w:r>
              <w:rPr>
                <w:rFonts w:hint="eastAsia"/>
                <w:color w:val="000000"/>
              </w:rPr>
              <w:t xml:space="preserve"> </w:t>
            </w:r>
            <w:r>
              <w:rPr>
                <w:color w:val="000000"/>
              </w:rPr>
              <w:t xml:space="preserve">    </w:t>
            </w:r>
          </w:p>
          <w:p>
            <w:pPr>
              <w:spacing w:line="360" w:lineRule="auto"/>
              <w:ind w:firstLine="480" w:firstLineChars="200"/>
              <w:rPr>
                <w:color w:val="000000"/>
              </w:rPr>
            </w:pPr>
            <w:r>
              <w:rPr>
                <w:rFonts w:hint="eastAsia"/>
                <w:color w:val="000000"/>
              </w:rPr>
              <w:t>环评要求：医院还应根据陕西省环保厅关于印发新修订的《陕西省核技术利用单位辐射安全管理标准化建设项目表》（陕环发[2018]29号）相关规定，不断完善医院辐射安全的管理，具体为：决策层应对关于辐射安全目标做出明确文字承诺，提供辐射安全所需的人力资源及物质保障；辐射防护负责人负责编制辐射安全年度评估报告，定期对</w:t>
            </w:r>
            <w:r>
              <w:t>数字减影血管造影</w:t>
            </w:r>
            <w:r>
              <w:rPr>
                <w:rFonts w:hint="eastAsia"/>
              </w:rPr>
              <w:t>机</w:t>
            </w:r>
            <w:r>
              <w:t>（DSA）</w:t>
            </w:r>
            <w:r>
              <w:rPr>
                <w:rFonts w:hint="eastAsia"/>
                <w:color w:val="000000"/>
              </w:rPr>
              <w:t>工作场所辐射防护设施和安全设施进行检查、维护，发现安全隐患及时整改，保证其安全性和可靠性；直接从事放射工作的作业人员应确保岗位辐射安全做出承诺等。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2" w:type="dxa"/>
          </w:tcPr>
          <w:p>
            <w:pPr>
              <w:spacing w:line="360" w:lineRule="auto"/>
              <w:jc w:val="left"/>
              <w:rPr>
                <w:b/>
                <w:color w:val="000000"/>
                <w:kern w:val="0"/>
                <w:sz w:val="28"/>
                <w:szCs w:val="28"/>
              </w:rPr>
            </w:pPr>
            <w:r>
              <w:rPr>
                <w:b/>
                <w:color w:val="000000"/>
                <w:kern w:val="0"/>
                <w:sz w:val="28"/>
                <w:szCs w:val="28"/>
              </w:rPr>
              <w:t>12.2 辐射安全管理规章制度</w:t>
            </w:r>
          </w:p>
          <w:p>
            <w:pPr>
              <w:pStyle w:val="2"/>
              <w:ind w:firstLine="482"/>
              <w:rPr>
                <w:rFonts w:eastAsia="等线"/>
              </w:rPr>
            </w:pPr>
            <w:r>
              <w:rPr>
                <w:rFonts w:hint="eastAsia" w:eastAsia="宋体"/>
                <w:b/>
                <w:bCs/>
              </w:rPr>
              <w:t>12.2.1 辐射安全管理相关要求</w:t>
            </w:r>
          </w:p>
          <w:p>
            <w:pPr>
              <w:spacing w:line="360" w:lineRule="auto"/>
              <w:ind w:firstLine="480" w:firstLineChars="200"/>
              <w:rPr>
                <w:color w:val="000000"/>
              </w:rPr>
            </w:pPr>
            <w:r>
              <w:rPr>
                <w:rFonts w:hint="eastAsia"/>
                <w:color w:val="000000"/>
              </w:rPr>
              <w:t>本项目建成后，医院应对照《陕西省核技术利用单位辐射安全管理标准化建设项目表》（陕环办发〔2018〕29号文），完善医院现有的相关制度与文件，进一步明确决策层、辐射防护负责人、放射性作业人员职责，并落实相关管理要求，详见表12-1。</w:t>
            </w:r>
          </w:p>
          <w:p>
            <w:pPr>
              <w:widowControl/>
              <w:jc w:val="center"/>
              <w:rPr>
                <w:rFonts w:ascii="宋体" w:hAnsi="宋体"/>
                <w:sz w:val="21"/>
                <w:szCs w:val="21"/>
              </w:rPr>
            </w:pPr>
            <w:r>
              <w:rPr>
                <w:rFonts w:ascii="宋体" w:hAnsi="宋体"/>
                <w:sz w:val="21"/>
                <w:szCs w:val="21"/>
              </w:rPr>
              <w:t>表</w:t>
            </w:r>
            <w:r>
              <w:rPr>
                <w:sz w:val="21"/>
                <w:szCs w:val="21"/>
              </w:rPr>
              <w:t>12-1</w:t>
            </w:r>
            <w:r>
              <w:rPr>
                <w:rFonts w:ascii="宋体" w:hAnsi="宋体"/>
                <w:sz w:val="21"/>
                <w:szCs w:val="21"/>
              </w:rPr>
              <w:t xml:space="preserve">  陕西省核技术利用单位辐射安全管理标准化建设项目表</w:t>
            </w:r>
          </w:p>
          <w:p>
            <w:pPr>
              <w:widowControl/>
              <w:jc w:val="center"/>
              <w:rPr>
                <w:rFonts w:ascii="宋体" w:hAnsi="宋体"/>
                <w:sz w:val="21"/>
                <w:szCs w:val="21"/>
              </w:rPr>
            </w:pPr>
            <w:r>
              <w:rPr>
                <w:rFonts w:ascii="宋体" w:hAnsi="宋体"/>
                <w:sz w:val="21"/>
                <w:szCs w:val="21"/>
              </w:rPr>
              <w:t>辐射安全管理部分</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4"/>
              <w:gridCol w:w="854"/>
              <w:gridCol w:w="6397"/>
              <w:gridCol w:w="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pct"/>
                  <w:gridSpan w:val="2"/>
                  <w:tcBorders>
                    <w:top w:val="single" w:color="auto" w:sz="12" w:space="0"/>
                    <w:bottom w:val="single" w:color="auto" w:sz="12" w:space="0"/>
                  </w:tcBorders>
                  <w:shd w:val="clear" w:color="auto" w:fill="auto"/>
                  <w:vAlign w:val="center"/>
                </w:tcPr>
                <w:p>
                  <w:pPr>
                    <w:tabs>
                      <w:tab w:val="center" w:pos="4180"/>
                      <w:tab w:val="right" w:pos="8360"/>
                    </w:tabs>
                    <w:jc w:val="center"/>
                    <w:rPr>
                      <w:color w:val="000000"/>
                      <w:sz w:val="18"/>
                      <w:szCs w:val="18"/>
                    </w:rPr>
                  </w:pPr>
                  <w:r>
                    <w:rPr>
                      <w:color w:val="000000"/>
                      <w:sz w:val="18"/>
                      <w:szCs w:val="18"/>
                    </w:rPr>
                    <w:t>管理内容</w:t>
                  </w:r>
                </w:p>
              </w:tc>
              <w:tc>
                <w:tcPr>
                  <w:tcW w:w="3747" w:type="pct"/>
                  <w:tcBorders>
                    <w:top w:val="single" w:color="auto" w:sz="12" w:space="0"/>
                    <w:bottom w:val="single" w:color="auto" w:sz="12" w:space="0"/>
                  </w:tcBorders>
                  <w:shd w:val="clear" w:color="auto" w:fill="auto"/>
                  <w:vAlign w:val="center"/>
                </w:tcPr>
                <w:p>
                  <w:pPr>
                    <w:tabs>
                      <w:tab w:val="center" w:pos="4180"/>
                      <w:tab w:val="right" w:pos="8360"/>
                    </w:tabs>
                    <w:jc w:val="center"/>
                    <w:rPr>
                      <w:color w:val="000000"/>
                      <w:sz w:val="18"/>
                      <w:szCs w:val="18"/>
                    </w:rPr>
                  </w:pPr>
                  <w:r>
                    <w:rPr>
                      <w:color w:val="000000"/>
                      <w:sz w:val="18"/>
                      <w:szCs w:val="18"/>
                    </w:rPr>
                    <w:t>管理要求</w:t>
                  </w:r>
                </w:p>
              </w:tc>
              <w:tc>
                <w:tcPr>
                  <w:tcW w:w="510" w:type="pct"/>
                  <w:tcBorders>
                    <w:top w:val="single" w:color="auto" w:sz="12" w:space="0"/>
                    <w:bottom w:val="single" w:color="auto" w:sz="12" w:space="0"/>
                  </w:tcBorders>
                  <w:shd w:val="clear" w:color="auto" w:fill="auto"/>
                  <w:vAlign w:val="center"/>
                </w:tcPr>
                <w:p>
                  <w:pPr>
                    <w:tabs>
                      <w:tab w:val="center" w:pos="4180"/>
                      <w:tab w:val="right" w:pos="8360"/>
                    </w:tabs>
                    <w:jc w:val="center"/>
                    <w:rPr>
                      <w:color w:val="000000"/>
                      <w:sz w:val="18"/>
                      <w:szCs w:val="18"/>
                    </w:rPr>
                  </w:pPr>
                  <w:r>
                    <w:rPr>
                      <w:color w:val="000000"/>
                      <w:sz w:val="18"/>
                      <w:szCs w:val="18"/>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restart"/>
                  <w:tcBorders>
                    <w:top w:val="single" w:color="auto" w:sz="12" w:space="0"/>
                  </w:tcBorders>
                  <w:shd w:val="clear" w:color="auto" w:fill="auto"/>
                  <w:vAlign w:val="center"/>
                </w:tcPr>
                <w:p>
                  <w:pPr>
                    <w:tabs>
                      <w:tab w:val="center" w:pos="4180"/>
                      <w:tab w:val="right" w:pos="8360"/>
                    </w:tabs>
                    <w:jc w:val="center"/>
                    <w:rPr>
                      <w:color w:val="000000"/>
                      <w:sz w:val="18"/>
                      <w:szCs w:val="18"/>
                    </w:rPr>
                  </w:pPr>
                  <w:r>
                    <w:rPr>
                      <w:color w:val="000000"/>
                      <w:sz w:val="18"/>
                      <w:szCs w:val="18"/>
                    </w:rPr>
                    <w:t>人员管理</w:t>
                  </w:r>
                </w:p>
              </w:tc>
              <w:tc>
                <w:tcPr>
                  <w:tcW w:w="500" w:type="pct"/>
                  <w:vMerge w:val="restart"/>
                  <w:tcBorders>
                    <w:top w:val="single" w:color="auto" w:sz="12" w:space="0"/>
                  </w:tcBorders>
                  <w:shd w:val="clear" w:color="auto" w:fill="auto"/>
                  <w:vAlign w:val="center"/>
                </w:tcPr>
                <w:p>
                  <w:pPr>
                    <w:tabs>
                      <w:tab w:val="center" w:pos="4180"/>
                      <w:tab w:val="right" w:pos="8360"/>
                    </w:tabs>
                    <w:snapToGrid w:val="0"/>
                    <w:jc w:val="center"/>
                    <w:rPr>
                      <w:color w:val="000000"/>
                      <w:sz w:val="18"/>
                      <w:szCs w:val="18"/>
                    </w:rPr>
                  </w:pPr>
                  <w:r>
                    <w:rPr>
                      <w:color w:val="000000"/>
                      <w:sz w:val="18"/>
                      <w:szCs w:val="18"/>
                    </w:rPr>
                    <w:t>决</w:t>
                  </w:r>
                </w:p>
                <w:p>
                  <w:pPr>
                    <w:tabs>
                      <w:tab w:val="center" w:pos="4180"/>
                      <w:tab w:val="right" w:pos="8360"/>
                    </w:tabs>
                    <w:snapToGrid w:val="0"/>
                    <w:jc w:val="center"/>
                    <w:rPr>
                      <w:color w:val="000000"/>
                      <w:sz w:val="18"/>
                      <w:szCs w:val="18"/>
                    </w:rPr>
                  </w:pPr>
                  <w:r>
                    <w:rPr>
                      <w:color w:val="000000"/>
                      <w:sz w:val="18"/>
                      <w:szCs w:val="18"/>
                    </w:rPr>
                    <w:t>策</w:t>
                  </w:r>
                </w:p>
                <w:p>
                  <w:pPr>
                    <w:tabs>
                      <w:tab w:val="center" w:pos="4180"/>
                      <w:tab w:val="right" w:pos="8360"/>
                    </w:tabs>
                    <w:snapToGrid w:val="0"/>
                    <w:jc w:val="center"/>
                    <w:rPr>
                      <w:color w:val="000000"/>
                      <w:sz w:val="18"/>
                      <w:szCs w:val="18"/>
                    </w:rPr>
                  </w:pPr>
                  <w:r>
                    <w:rPr>
                      <w:color w:val="000000"/>
                      <w:sz w:val="18"/>
                      <w:szCs w:val="18"/>
                    </w:rPr>
                    <w:t>层</w:t>
                  </w:r>
                </w:p>
              </w:tc>
              <w:tc>
                <w:tcPr>
                  <w:tcW w:w="3747" w:type="pct"/>
                  <w:tcBorders>
                    <w:top w:val="single" w:color="auto" w:sz="12" w:space="0"/>
                  </w:tcBorders>
                  <w:shd w:val="clear" w:color="auto" w:fill="auto"/>
                  <w:vAlign w:val="center"/>
                </w:tcPr>
                <w:p>
                  <w:pPr>
                    <w:adjustRightInd w:val="0"/>
                    <w:snapToGrid w:val="0"/>
                    <w:jc w:val="left"/>
                    <w:rPr>
                      <w:color w:val="000000"/>
                      <w:sz w:val="18"/>
                      <w:szCs w:val="18"/>
                    </w:rPr>
                  </w:pPr>
                  <w:r>
                    <w:rPr>
                      <w:color w:val="000000"/>
                      <w:sz w:val="18"/>
                      <w:szCs w:val="18"/>
                    </w:rPr>
                    <w:t>就确保辐射安全目标做出明确的文字承诺，并指派有决策层级的负责人分管辐射安全工作。</w:t>
                  </w:r>
                </w:p>
              </w:tc>
              <w:tc>
                <w:tcPr>
                  <w:tcW w:w="510" w:type="pct"/>
                  <w:vMerge w:val="restart"/>
                  <w:tcBorders>
                    <w:top w:val="single" w:color="auto" w:sz="12" w:space="0"/>
                  </w:tcBorders>
                  <w:shd w:val="clear" w:color="auto" w:fill="auto"/>
                  <w:vAlign w:val="center"/>
                </w:tcPr>
                <w:p>
                  <w:pPr>
                    <w:adjustRightInd w:val="0"/>
                    <w:snapToGrid w:val="0"/>
                    <w:jc w:val="center"/>
                    <w:rPr>
                      <w:color w:val="000000"/>
                      <w:sz w:val="18"/>
                      <w:szCs w:val="18"/>
                    </w:rPr>
                  </w:pPr>
                  <w:r>
                    <w:rPr>
                      <w:color w:val="000000"/>
                      <w:sz w:val="18"/>
                      <w:szCs w:val="18"/>
                    </w:rPr>
                    <w:t>已按要求设置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continue"/>
                  <w:shd w:val="clear" w:color="auto" w:fill="auto"/>
                  <w:vAlign w:val="center"/>
                </w:tcPr>
                <w:p>
                  <w:pPr>
                    <w:tabs>
                      <w:tab w:val="center" w:pos="4180"/>
                      <w:tab w:val="right" w:pos="8360"/>
                    </w:tabs>
                    <w:jc w:val="center"/>
                    <w:rPr>
                      <w:color w:val="000000"/>
                      <w:sz w:val="18"/>
                      <w:szCs w:val="18"/>
                    </w:rPr>
                  </w:pPr>
                </w:p>
              </w:tc>
              <w:tc>
                <w:tcPr>
                  <w:tcW w:w="500" w:type="pct"/>
                  <w:vMerge w:val="continue"/>
                  <w:shd w:val="clear" w:color="auto" w:fill="auto"/>
                  <w:vAlign w:val="center"/>
                </w:tcPr>
                <w:p>
                  <w:pPr>
                    <w:tabs>
                      <w:tab w:val="center" w:pos="4180"/>
                      <w:tab w:val="right" w:pos="8360"/>
                    </w:tabs>
                    <w:snapToGrid w:val="0"/>
                    <w:jc w:val="center"/>
                    <w:rPr>
                      <w:color w:val="000000"/>
                      <w:sz w:val="18"/>
                      <w:szCs w:val="18"/>
                    </w:rPr>
                  </w:pPr>
                </w:p>
              </w:tc>
              <w:tc>
                <w:tcPr>
                  <w:tcW w:w="3747" w:type="pct"/>
                  <w:shd w:val="clear" w:color="auto" w:fill="auto"/>
                  <w:vAlign w:val="center"/>
                </w:tcPr>
                <w:p>
                  <w:pPr>
                    <w:adjustRightInd w:val="0"/>
                    <w:snapToGrid w:val="0"/>
                    <w:jc w:val="left"/>
                    <w:rPr>
                      <w:color w:val="000000"/>
                      <w:sz w:val="18"/>
                      <w:szCs w:val="18"/>
                    </w:rPr>
                  </w:pPr>
                  <w:r>
                    <w:rPr>
                      <w:color w:val="000000"/>
                      <w:sz w:val="18"/>
                      <w:szCs w:val="18"/>
                    </w:rPr>
                    <w:t>年初工作安排和年终工作总结，应包含辐射环境安全管理工作内容。</w:t>
                  </w:r>
                </w:p>
              </w:tc>
              <w:tc>
                <w:tcPr>
                  <w:tcW w:w="510" w:type="pct"/>
                  <w:vMerge w:val="continue"/>
                  <w:shd w:val="clear" w:color="auto" w:fill="auto"/>
                  <w:vAlign w:val="center"/>
                </w:tcPr>
                <w:p>
                  <w:pPr>
                    <w:adjustRightInd w:val="0"/>
                    <w:snapToGrid w:val="0"/>
                    <w:jc w:val="center"/>
                    <w:rPr>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continue"/>
                  <w:shd w:val="clear" w:color="auto" w:fill="auto"/>
                  <w:vAlign w:val="center"/>
                </w:tcPr>
                <w:p>
                  <w:pPr>
                    <w:tabs>
                      <w:tab w:val="center" w:pos="4180"/>
                      <w:tab w:val="right" w:pos="8360"/>
                    </w:tabs>
                    <w:jc w:val="center"/>
                    <w:rPr>
                      <w:color w:val="000000"/>
                      <w:sz w:val="18"/>
                      <w:szCs w:val="18"/>
                    </w:rPr>
                  </w:pPr>
                </w:p>
              </w:tc>
              <w:tc>
                <w:tcPr>
                  <w:tcW w:w="500" w:type="pct"/>
                  <w:vMerge w:val="continue"/>
                  <w:shd w:val="clear" w:color="auto" w:fill="auto"/>
                  <w:vAlign w:val="center"/>
                </w:tcPr>
                <w:p>
                  <w:pPr>
                    <w:tabs>
                      <w:tab w:val="center" w:pos="4180"/>
                      <w:tab w:val="right" w:pos="8360"/>
                    </w:tabs>
                    <w:snapToGrid w:val="0"/>
                    <w:jc w:val="center"/>
                    <w:rPr>
                      <w:color w:val="000000"/>
                      <w:sz w:val="18"/>
                      <w:szCs w:val="18"/>
                    </w:rPr>
                  </w:pPr>
                </w:p>
              </w:tc>
              <w:tc>
                <w:tcPr>
                  <w:tcW w:w="3747" w:type="pct"/>
                  <w:shd w:val="clear" w:color="auto" w:fill="auto"/>
                  <w:vAlign w:val="center"/>
                </w:tcPr>
                <w:p>
                  <w:pPr>
                    <w:adjustRightInd w:val="0"/>
                    <w:snapToGrid w:val="0"/>
                    <w:jc w:val="left"/>
                    <w:rPr>
                      <w:color w:val="000000"/>
                      <w:sz w:val="18"/>
                      <w:szCs w:val="18"/>
                    </w:rPr>
                  </w:pPr>
                  <w:r>
                    <w:rPr>
                      <w:color w:val="000000"/>
                      <w:sz w:val="18"/>
                      <w:szCs w:val="18"/>
                    </w:rPr>
                    <w:t>明确辐射安全管理部门和岗位的辐射安全职责。</w:t>
                  </w:r>
                </w:p>
              </w:tc>
              <w:tc>
                <w:tcPr>
                  <w:tcW w:w="510" w:type="pct"/>
                  <w:vMerge w:val="continue"/>
                  <w:shd w:val="clear" w:color="auto" w:fill="auto"/>
                  <w:vAlign w:val="center"/>
                </w:tcPr>
                <w:p>
                  <w:pPr>
                    <w:adjustRightInd w:val="0"/>
                    <w:snapToGrid w:val="0"/>
                    <w:jc w:val="center"/>
                    <w:rPr>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continue"/>
                  <w:shd w:val="clear" w:color="auto" w:fill="auto"/>
                  <w:vAlign w:val="center"/>
                </w:tcPr>
                <w:p>
                  <w:pPr>
                    <w:tabs>
                      <w:tab w:val="center" w:pos="4180"/>
                      <w:tab w:val="right" w:pos="8360"/>
                    </w:tabs>
                    <w:jc w:val="center"/>
                    <w:rPr>
                      <w:color w:val="000000"/>
                      <w:sz w:val="18"/>
                      <w:szCs w:val="18"/>
                    </w:rPr>
                  </w:pPr>
                </w:p>
              </w:tc>
              <w:tc>
                <w:tcPr>
                  <w:tcW w:w="500" w:type="pct"/>
                  <w:vMerge w:val="continue"/>
                  <w:shd w:val="clear" w:color="auto" w:fill="auto"/>
                  <w:vAlign w:val="center"/>
                </w:tcPr>
                <w:p>
                  <w:pPr>
                    <w:tabs>
                      <w:tab w:val="center" w:pos="4180"/>
                      <w:tab w:val="right" w:pos="8360"/>
                    </w:tabs>
                    <w:snapToGrid w:val="0"/>
                    <w:jc w:val="center"/>
                    <w:rPr>
                      <w:color w:val="000000"/>
                      <w:sz w:val="18"/>
                      <w:szCs w:val="18"/>
                    </w:rPr>
                  </w:pPr>
                </w:p>
              </w:tc>
              <w:tc>
                <w:tcPr>
                  <w:tcW w:w="3747" w:type="pct"/>
                  <w:shd w:val="clear" w:color="auto" w:fill="auto"/>
                  <w:vAlign w:val="center"/>
                </w:tcPr>
                <w:p>
                  <w:pPr>
                    <w:adjustRightInd w:val="0"/>
                    <w:snapToGrid w:val="0"/>
                    <w:jc w:val="left"/>
                    <w:rPr>
                      <w:color w:val="000000"/>
                      <w:sz w:val="18"/>
                      <w:szCs w:val="18"/>
                    </w:rPr>
                  </w:pPr>
                  <w:r>
                    <w:rPr>
                      <w:color w:val="000000"/>
                      <w:sz w:val="18"/>
                      <w:szCs w:val="18"/>
                    </w:rPr>
                    <w:t>提供确保辐射安全所需的人力资源及物质保障。</w:t>
                  </w:r>
                </w:p>
              </w:tc>
              <w:tc>
                <w:tcPr>
                  <w:tcW w:w="510" w:type="pct"/>
                  <w:vMerge w:val="continue"/>
                  <w:shd w:val="clear" w:color="auto" w:fill="auto"/>
                  <w:vAlign w:val="center"/>
                </w:tcPr>
                <w:p>
                  <w:pPr>
                    <w:adjustRightInd w:val="0"/>
                    <w:snapToGrid w:val="0"/>
                    <w:jc w:val="center"/>
                    <w:rPr>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continue"/>
                  <w:shd w:val="clear" w:color="auto" w:fill="auto"/>
                  <w:vAlign w:val="center"/>
                </w:tcPr>
                <w:p>
                  <w:pPr>
                    <w:tabs>
                      <w:tab w:val="center" w:pos="4180"/>
                      <w:tab w:val="right" w:pos="8360"/>
                    </w:tabs>
                    <w:jc w:val="center"/>
                    <w:rPr>
                      <w:color w:val="000000"/>
                      <w:sz w:val="18"/>
                      <w:szCs w:val="18"/>
                    </w:rPr>
                  </w:pPr>
                </w:p>
              </w:tc>
              <w:tc>
                <w:tcPr>
                  <w:tcW w:w="500" w:type="pct"/>
                  <w:vMerge w:val="restart"/>
                  <w:shd w:val="clear" w:color="auto" w:fill="auto"/>
                  <w:vAlign w:val="center"/>
                </w:tcPr>
                <w:p>
                  <w:pPr>
                    <w:tabs>
                      <w:tab w:val="center" w:pos="4180"/>
                      <w:tab w:val="right" w:pos="8360"/>
                    </w:tabs>
                    <w:snapToGrid w:val="0"/>
                    <w:jc w:val="center"/>
                    <w:rPr>
                      <w:color w:val="000000"/>
                      <w:sz w:val="18"/>
                      <w:szCs w:val="18"/>
                    </w:rPr>
                  </w:pPr>
                  <w:r>
                    <w:rPr>
                      <w:color w:val="000000"/>
                      <w:sz w:val="18"/>
                      <w:szCs w:val="18"/>
                    </w:rPr>
                    <w:t>辐射防护负责人</w:t>
                  </w:r>
                </w:p>
              </w:tc>
              <w:tc>
                <w:tcPr>
                  <w:tcW w:w="3747" w:type="pct"/>
                  <w:shd w:val="clear" w:color="auto" w:fill="auto"/>
                  <w:vAlign w:val="center"/>
                </w:tcPr>
                <w:p>
                  <w:pPr>
                    <w:adjustRightInd w:val="0"/>
                    <w:snapToGrid w:val="0"/>
                    <w:jc w:val="left"/>
                    <w:rPr>
                      <w:color w:val="000000"/>
                      <w:sz w:val="18"/>
                      <w:szCs w:val="18"/>
                    </w:rPr>
                  </w:pPr>
                  <w:r>
                    <w:rPr>
                      <w:color w:val="000000"/>
                      <w:sz w:val="18"/>
                      <w:szCs w:val="18"/>
                    </w:rPr>
                    <w:t>参加辐射安全与防护培训并通过考核取得合格证，持证上岗；熟知辐射安全法律法规及相关标准的具体要求并向员工和公众宣传辐射安全相关知识。</w:t>
                  </w:r>
                </w:p>
              </w:tc>
              <w:tc>
                <w:tcPr>
                  <w:tcW w:w="510" w:type="pct"/>
                  <w:shd w:val="clear" w:color="auto" w:fill="auto"/>
                  <w:vAlign w:val="center"/>
                </w:tcPr>
                <w:p>
                  <w:pPr>
                    <w:adjustRightInd w:val="0"/>
                    <w:snapToGrid w:val="0"/>
                    <w:jc w:val="center"/>
                    <w:rPr>
                      <w:color w:val="000000"/>
                      <w:sz w:val="18"/>
                      <w:szCs w:val="18"/>
                    </w:rPr>
                  </w:pPr>
                  <w:r>
                    <w:rPr>
                      <w:color w:val="000000"/>
                      <w:sz w:val="18"/>
                      <w:szCs w:val="18"/>
                    </w:rPr>
                    <w:t>按规定执行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continue"/>
                  <w:shd w:val="clear" w:color="auto" w:fill="auto"/>
                  <w:vAlign w:val="center"/>
                </w:tcPr>
                <w:p>
                  <w:pPr>
                    <w:tabs>
                      <w:tab w:val="center" w:pos="4180"/>
                      <w:tab w:val="right" w:pos="8360"/>
                    </w:tabs>
                    <w:jc w:val="center"/>
                    <w:rPr>
                      <w:color w:val="000000"/>
                      <w:sz w:val="18"/>
                      <w:szCs w:val="18"/>
                    </w:rPr>
                  </w:pPr>
                </w:p>
              </w:tc>
              <w:tc>
                <w:tcPr>
                  <w:tcW w:w="500" w:type="pct"/>
                  <w:vMerge w:val="continue"/>
                  <w:shd w:val="clear" w:color="auto" w:fill="auto"/>
                  <w:vAlign w:val="center"/>
                </w:tcPr>
                <w:p>
                  <w:pPr>
                    <w:tabs>
                      <w:tab w:val="center" w:pos="4180"/>
                      <w:tab w:val="right" w:pos="8360"/>
                    </w:tabs>
                    <w:snapToGrid w:val="0"/>
                    <w:jc w:val="center"/>
                    <w:rPr>
                      <w:color w:val="000000"/>
                      <w:sz w:val="18"/>
                      <w:szCs w:val="18"/>
                    </w:rPr>
                  </w:pPr>
                </w:p>
              </w:tc>
              <w:tc>
                <w:tcPr>
                  <w:tcW w:w="3747" w:type="pct"/>
                  <w:shd w:val="clear" w:color="auto" w:fill="auto"/>
                  <w:vAlign w:val="center"/>
                </w:tcPr>
                <w:p>
                  <w:pPr>
                    <w:adjustRightInd w:val="0"/>
                    <w:snapToGrid w:val="0"/>
                    <w:jc w:val="left"/>
                    <w:rPr>
                      <w:color w:val="000000"/>
                      <w:sz w:val="18"/>
                      <w:szCs w:val="18"/>
                    </w:rPr>
                  </w:pPr>
                  <w:r>
                    <w:rPr>
                      <w:color w:val="000000"/>
                      <w:sz w:val="18"/>
                      <w:szCs w:val="18"/>
                    </w:rPr>
                    <w:t>负责编制辐射安全年度评估报告，并于每年1月31日前向发证机关提交上一年度评估报告。</w:t>
                  </w:r>
                </w:p>
              </w:tc>
              <w:tc>
                <w:tcPr>
                  <w:tcW w:w="510" w:type="pct"/>
                  <w:vMerge w:val="restart"/>
                  <w:shd w:val="clear" w:color="auto" w:fill="auto"/>
                  <w:vAlign w:val="center"/>
                </w:tcPr>
                <w:p>
                  <w:pPr>
                    <w:adjustRightInd w:val="0"/>
                    <w:snapToGrid w:val="0"/>
                    <w:jc w:val="center"/>
                    <w:rPr>
                      <w:color w:val="000000"/>
                      <w:sz w:val="18"/>
                      <w:szCs w:val="18"/>
                    </w:rPr>
                  </w:pPr>
                  <w:r>
                    <w:rPr>
                      <w:color w:val="000000"/>
                      <w:sz w:val="18"/>
                      <w:szCs w:val="18"/>
                    </w:rPr>
                    <w:t>本项目建成后应完善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continue"/>
                  <w:shd w:val="clear" w:color="auto" w:fill="auto"/>
                  <w:vAlign w:val="center"/>
                </w:tcPr>
                <w:p>
                  <w:pPr>
                    <w:tabs>
                      <w:tab w:val="center" w:pos="4180"/>
                      <w:tab w:val="right" w:pos="8360"/>
                    </w:tabs>
                    <w:jc w:val="center"/>
                    <w:rPr>
                      <w:color w:val="000000"/>
                      <w:sz w:val="18"/>
                      <w:szCs w:val="18"/>
                    </w:rPr>
                  </w:pPr>
                </w:p>
              </w:tc>
              <w:tc>
                <w:tcPr>
                  <w:tcW w:w="500" w:type="pct"/>
                  <w:vMerge w:val="continue"/>
                  <w:shd w:val="clear" w:color="auto" w:fill="auto"/>
                  <w:vAlign w:val="center"/>
                </w:tcPr>
                <w:p>
                  <w:pPr>
                    <w:tabs>
                      <w:tab w:val="center" w:pos="4180"/>
                      <w:tab w:val="right" w:pos="8360"/>
                    </w:tabs>
                    <w:snapToGrid w:val="0"/>
                    <w:jc w:val="center"/>
                    <w:rPr>
                      <w:color w:val="000000"/>
                      <w:sz w:val="18"/>
                      <w:szCs w:val="18"/>
                    </w:rPr>
                  </w:pPr>
                </w:p>
              </w:tc>
              <w:tc>
                <w:tcPr>
                  <w:tcW w:w="3747" w:type="pct"/>
                  <w:shd w:val="clear" w:color="auto" w:fill="auto"/>
                  <w:vAlign w:val="center"/>
                </w:tcPr>
                <w:p>
                  <w:pPr>
                    <w:adjustRightInd w:val="0"/>
                    <w:snapToGrid w:val="0"/>
                    <w:jc w:val="left"/>
                    <w:rPr>
                      <w:color w:val="000000"/>
                      <w:sz w:val="18"/>
                      <w:szCs w:val="18"/>
                    </w:rPr>
                  </w:pPr>
                  <w:r>
                    <w:rPr>
                      <w:color w:val="000000"/>
                      <w:sz w:val="18"/>
                      <w:szCs w:val="18"/>
                    </w:rPr>
                    <w:t>建立健全辐射安全管理制度，跟踪落实各岗位辐射安全职责。</w:t>
                  </w:r>
                </w:p>
              </w:tc>
              <w:tc>
                <w:tcPr>
                  <w:tcW w:w="510" w:type="pct"/>
                  <w:vMerge w:val="continue"/>
                  <w:shd w:val="clear" w:color="auto" w:fill="auto"/>
                </w:tcPr>
                <w:p>
                  <w:pPr>
                    <w:adjustRightInd w:val="0"/>
                    <w:snapToGrid w:val="0"/>
                    <w:jc w:val="center"/>
                    <w:rPr>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continue"/>
                  <w:shd w:val="clear" w:color="auto" w:fill="auto"/>
                  <w:vAlign w:val="center"/>
                </w:tcPr>
                <w:p>
                  <w:pPr>
                    <w:tabs>
                      <w:tab w:val="center" w:pos="4180"/>
                      <w:tab w:val="right" w:pos="8360"/>
                    </w:tabs>
                    <w:jc w:val="center"/>
                    <w:rPr>
                      <w:color w:val="000000"/>
                      <w:sz w:val="18"/>
                      <w:szCs w:val="18"/>
                    </w:rPr>
                  </w:pPr>
                </w:p>
              </w:tc>
              <w:tc>
                <w:tcPr>
                  <w:tcW w:w="500" w:type="pct"/>
                  <w:vMerge w:val="continue"/>
                  <w:shd w:val="clear" w:color="auto" w:fill="auto"/>
                  <w:vAlign w:val="center"/>
                </w:tcPr>
                <w:p>
                  <w:pPr>
                    <w:tabs>
                      <w:tab w:val="center" w:pos="4180"/>
                      <w:tab w:val="right" w:pos="8360"/>
                    </w:tabs>
                    <w:snapToGrid w:val="0"/>
                    <w:jc w:val="center"/>
                    <w:rPr>
                      <w:color w:val="000000"/>
                      <w:sz w:val="18"/>
                      <w:szCs w:val="18"/>
                    </w:rPr>
                  </w:pPr>
                </w:p>
              </w:tc>
              <w:tc>
                <w:tcPr>
                  <w:tcW w:w="3747" w:type="pct"/>
                  <w:shd w:val="clear" w:color="auto" w:fill="auto"/>
                  <w:vAlign w:val="center"/>
                </w:tcPr>
                <w:p>
                  <w:pPr>
                    <w:adjustRightInd w:val="0"/>
                    <w:snapToGrid w:val="0"/>
                    <w:jc w:val="left"/>
                    <w:rPr>
                      <w:color w:val="000000"/>
                      <w:sz w:val="18"/>
                      <w:szCs w:val="18"/>
                    </w:rPr>
                  </w:pPr>
                  <w:r>
                    <w:rPr>
                      <w:color w:val="000000"/>
                      <w:sz w:val="18"/>
                      <w:szCs w:val="18"/>
                    </w:rPr>
                    <w:t>建立辐射安全管理档案。</w:t>
                  </w:r>
                </w:p>
              </w:tc>
              <w:tc>
                <w:tcPr>
                  <w:tcW w:w="510" w:type="pct"/>
                  <w:vMerge w:val="continue"/>
                  <w:shd w:val="clear" w:color="auto" w:fill="auto"/>
                </w:tcPr>
                <w:p>
                  <w:pPr>
                    <w:adjustRightInd w:val="0"/>
                    <w:snapToGrid w:val="0"/>
                    <w:jc w:val="center"/>
                    <w:rPr>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continue"/>
                  <w:shd w:val="clear" w:color="auto" w:fill="auto"/>
                  <w:vAlign w:val="center"/>
                </w:tcPr>
                <w:p>
                  <w:pPr>
                    <w:tabs>
                      <w:tab w:val="center" w:pos="4180"/>
                      <w:tab w:val="right" w:pos="8360"/>
                    </w:tabs>
                    <w:jc w:val="center"/>
                    <w:rPr>
                      <w:color w:val="000000"/>
                      <w:sz w:val="18"/>
                      <w:szCs w:val="18"/>
                    </w:rPr>
                  </w:pPr>
                </w:p>
              </w:tc>
              <w:tc>
                <w:tcPr>
                  <w:tcW w:w="500" w:type="pct"/>
                  <w:vMerge w:val="continue"/>
                  <w:shd w:val="clear" w:color="auto" w:fill="auto"/>
                  <w:vAlign w:val="center"/>
                </w:tcPr>
                <w:p>
                  <w:pPr>
                    <w:tabs>
                      <w:tab w:val="center" w:pos="4180"/>
                      <w:tab w:val="right" w:pos="8360"/>
                    </w:tabs>
                    <w:snapToGrid w:val="0"/>
                    <w:jc w:val="center"/>
                    <w:rPr>
                      <w:color w:val="000000"/>
                      <w:sz w:val="18"/>
                      <w:szCs w:val="18"/>
                    </w:rPr>
                  </w:pPr>
                </w:p>
              </w:tc>
              <w:tc>
                <w:tcPr>
                  <w:tcW w:w="3747" w:type="pct"/>
                  <w:shd w:val="clear" w:color="auto" w:fill="auto"/>
                  <w:vAlign w:val="center"/>
                </w:tcPr>
                <w:p>
                  <w:pPr>
                    <w:adjustRightInd w:val="0"/>
                    <w:snapToGrid w:val="0"/>
                    <w:jc w:val="left"/>
                    <w:rPr>
                      <w:color w:val="000000"/>
                      <w:sz w:val="18"/>
                      <w:szCs w:val="18"/>
                    </w:rPr>
                  </w:pPr>
                  <w:r>
                    <w:rPr>
                      <w:color w:val="000000"/>
                      <w:sz w:val="18"/>
                      <w:szCs w:val="18"/>
                    </w:rPr>
                    <w:t>对辐射工作场所定期巡查，发现安全隐患及时整改，并有完善的巡查及整改记录。</w:t>
                  </w:r>
                </w:p>
              </w:tc>
              <w:tc>
                <w:tcPr>
                  <w:tcW w:w="510" w:type="pct"/>
                  <w:vMerge w:val="continue"/>
                  <w:shd w:val="clear" w:color="auto" w:fill="auto"/>
                </w:tcPr>
                <w:p>
                  <w:pPr>
                    <w:adjustRightInd w:val="0"/>
                    <w:snapToGrid w:val="0"/>
                    <w:jc w:val="center"/>
                    <w:rPr>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43" w:type="pct"/>
                  <w:vMerge w:val="continue"/>
                  <w:shd w:val="clear" w:color="auto" w:fill="auto"/>
                  <w:vAlign w:val="center"/>
                </w:tcPr>
                <w:p>
                  <w:pPr>
                    <w:tabs>
                      <w:tab w:val="center" w:pos="4180"/>
                      <w:tab w:val="right" w:pos="8360"/>
                    </w:tabs>
                    <w:jc w:val="center"/>
                    <w:rPr>
                      <w:color w:val="000000"/>
                      <w:sz w:val="18"/>
                      <w:szCs w:val="18"/>
                    </w:rPr>
                  </w:pPr>
                </w:p>
              </w:tc>
              <w:tc>
                <w:tcPr>
                  <w:tcW w:w="500" w:type="pct"/>
                  <w:vMerge w:val="restart"/>
                  <w:shd w:val="clear" w:color="auto" w:fill="auto"/>
                  <w:vAlign w:val="center"/>
                </w:tcPr>
                <w:p>
                  <w:pPr>
                    <w:tabs>
                      <w:tab w:val="center" w:pos="4180"/>
                      <w:tab w:val="right" w:pos="8360"/>
                    </w:tabs>
                    <w:snapToGrid w:val="0"/>
                    <w:jc w:val="center"/>
                    <w:rPr>
                      <w:color w:val="000000"/>
                      <w:sz w:val="18"/>
                      <w:szCs w:val="18"/>
                    </w:rPr>
                  </w:pPr>
                  <w:r>
                    <w:rPr>
                      <w:color w:val="000000"/>
                      <w:sz w:val="18"/>
                      <w:szCs w:val="18"/>
                    </w:rPr>
                    <w:t>直接从事放射工作的作业人员</w:t>
                  </w:r>
                </w:p>
              </w:tc>
              <w:tc>
                <w:tcPr>
                  <w:tcW w:w="3747" w:type="pct"/>
                  <w:shd w:val="clear" w:color="auto" w:fill="auto"/>
                  <w:vAlign w:val="center"/>
                </w:tcPr>
                <w:p>
                  <w:pPr>
                    <w:adjustRightInd w:val="0"/>
                    <w:snapToGrid w:val="0"/>
                    <w:jc w:val="left"/>
                    <w:rPr>
                      <w:color w:val="000000"/>
                      <w:sz w:val="18"/>
                      <w:szCs w:val="18"/>
                    </w:rPr>
                  </w:pPr>
                  <w:r>
                    <w:rPr>
                      <w:color w:val="000000"/>
                      <w:sz w:val="18"/>
                      <w:szCs w:val="18"/>
                    </w:rPr>
                    <w:t>岗前进行职业健康体检，结果无异常。</w:t>
                  </w:r>
                </w:p>
              </w:tc>
              <w:tc>
                <w:tcPr>
                  <w:tcW w:w="510" w:type="pct"/>
                  <w:vMerge w:val="restart"/>
                  <w:shd w:val="clear" w:color="auto" w:fill="auto"/>
                  <w:vAlign w:val="center"/>
                </w:tcPr>
                <w:p>
                  <w:pPr>
                    <w:adjustRightInd w:val="0"/>
                    <w:snapToGrid w:val="0"/>
                    <w:jc w:val="center"/>
                    <w:rPr>
                      <w:color w:val="000000"/>
                      <w:sz w:val="18"/>
                      <w:szCs w:val="18"/>
                    </w:rPr>
                  </w:pPr>
                  <w:r>
                    <w:rPr>
                      <w:color w:val="000000"/>
                      <w:sz w:val="18"/>
                      <w:szCs w:val="18"/>
                    </w:rPr>
                    <w:t>新增人员应按规定进行培训体检等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continue"/>
                  <w:shd w:val="clear" w:color="auto" w:fill="auto"/>
                  <w:vAlign w:val="center"/>
                </w:tcPr>
                <w:p>
                  <w:pPr>
                    <w:tabs>
                      <w:tab w:val="center" w:pos="4180"/>
                      <w:tab w:val="right" w:pos="8360"/>
                    </w:tabs>
                    <w:jc w:val="center"/>
                    <w:rPr>
                      <w:color w:val="000000"/>
                      <w:sz w:val="18"/>
                      <w:szCs w:val="18"/>
                    </w:rPr>
                  </w:pPr>
                </w:p>
              </w:tc>
              <w:tc>
                <w:tcPr>
                  <w:tcW w:w="500" w:type="pct"/>
                  <w:vMerge w:val="continue"/>
                  <w:shd w:val="clear" w:color="auto" w:fill="auto"/>
                  <w:vAlign w:val="center"/>
                </w:tcPr>
                <w:p>
                  <w:pPr>
                    <w:tabs>
                      <w:tab w:val="center" w:pos="4180"/>
                      <w:tab w:val="right" w:pos="8360"/>
                    </w:tabs>
                    <w:snapToGrid w:val="0"/>
                    <w:jc w:val="center"/>
                    <w:rPr>
                      <w:color w:val="000000"/>
                      <w:sz w:val="18"/>
                      <w:szCs w:val="18"/>
                    </w:rPr>
                  </w:pPr>
                </w:p>
              </w:tc>
              <w:tc>
                <w:tcPr>
                  <w:tcW w:w="3747" w:type="pct"/>
                  <w:shd w:val="clear" w:color="auto" w:fill="auto"/>
                  <w:vAlign w:val="center"/>
                </w:tcPr>
                <w:p>
                  <w:pPr>
                    <w:adjustRightInd w:val="0"/>
                    <w:snapToGrid w:val="0"/>
                    <w:jc w:val="left"/>
                    <w:rPr>
                      <w:color w:val="000000"/>
                      <w:sz w:val="18"/>
                      <w:szCs w:val="18"/>
                    </w:rPr>
                  </w:pPr>
                  <w:r>
                    <w:rPr>
                      <w:color w:val="000000"/>
                      <w:sz w:val="18"/>
                      <w:szCs w:val="18"/>
                    </w:rPr>
                    <w:t>参加辐射安全与防护培训并通过考核取得合格证，持证上岗。</w:t>
                  </w:r>
                </w:p>
              </w:tc>
              <w:tc>
                <w:tcPr>
                  <w:tcW w:w="510" w:type="pct"/>
                  <w:vMerge w:val="continue"/>
                  <w:shd w:val="clear" w:color="auto" w:fill="auto"/>
                  <w:vAlign w:val="center"/>
                </w:tcPr>
                <w:p>
                  <w:pPr>
                    <w:adjustRightInd w:val="0"/>
                    <w:snapToGrid w:val="0"/>
                    <w:jc w:val="center"/>
                    <w:rPr>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continue"/>
                  <w:shd w:val="clear" w:color="auto" w:fill="auto"/>
                  <w:vAlign w:val="center"/>
                </w:tcPr>
                <w:p>
                  <w:pPr>
                    <w:tabs>
                      <w:tab w:val="center" w:pos="4180"/>
                      <w:tab w:val="right" w:pos="8360"/>
                    </w:tabs>
                    <w:jc w:val="center"/>
                    <w:rPr>
                      <w:color w:val="000000"/>
                      <w:sz w:val="18"/>
                      <w:szCs w:val="18"/>
                    </w:rPr>
                  </w:pPr>
                </w:p>
              </w:tc>
              <w:tc>
                <w:tcPr>
                  <w:tcW w:w="500" w:type="pct"/>
                  <w:vMerge w:val="continue"/>
                  <w:shd w:val="clear" w:color="auto" w:fill="auto"/>
                  <w:vAlign w:val="center"/>
                </w:tcPr>
                <w:p>
                  <w:pPr>
                    <w:tabs>
                      <w:tab w:val="center" w:pos="4180"/>
                      <w:tab w:val="right" w:pos="8360"/>
                    </w:tabs>
                    <w:snapToGrid w:val="0"/>
                    <w:jc w:val="center"/>
                    <w:rPr>
                      <w:color w:val="000000"/>
                      <w:sz w:val="18"/>
                      <w:szCs w:val="18"/>
                    </w:rPr>
                  </w:pPr>
                </w:p>
              </w:tc>
              <w:tc>
                <w:tcPr>
                  <w:tcW w:w="3747" w:type="pct"/>
                  <w:shd w:val="clear" w:color="auto" w:fill="auto"/>
                  <w:vAlign w:val="center"/>
                </w:tcPr>
                <w:p>
                  <w:pPr>
                    <w:adjustRightInd w:val="0"/>
                    <w:snapToGrid w:val="0"/>
                    <w:jc w:val="left"/>
                    <w:rPr>
                      <w:color w:val="000000"/>
                      <w:sz w:val="18"/>
                      <w:szCs w:val="18"/>
                    </w:rPr>
                  </w:pPr>
                  <w:r>
                    <w:rPr>
                      <w:color w:val="000000"/>
                      <w:sz w:val="18"/>
                      <w:szCs w:val="18"/>
                    </w:rPr>
                    <w:t>了解本岗工作性质，熟悉本岗位辐射安全职责，并对确保岗位辐射安全做出承诺。</w:t>
                  </w:r>
                </w:p>
              </w:tc>
              <w:tc>
                <w:tcPr>
                  <w:tcW w:w="510" w:type="pct"/>
                  <w:vMerge w:val="continue"/>
                  <w:shd w:val="clear" w:color="auto" w:fill="auto"/>
                  <w:vAlign w:val="center"/>
                </w:tcPr>
                <w:p>
                  <w:pPr>
                    <w:adjustRightInd w:val="0"/>
                    <w:snapToGrid w:val="0"/>
                    <w:jc w:val="center"/>
                    <w:rPr>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 w:type="pct"/>
                  <w:vMerge w:val="continue"/>
                  <w:shd w:val="clear" w:color="auto" w:fill="auto"/>
                  <w:vAlign w:val="center"/>
                </w:tcPr>
                <w:p>
                  <w:pPr>
                    <w:tabs>
                      <w:tab w:val="center" w:pos="4180"/>
                      <w:tab w:val="right" w:pos="8360"/>
                    </w:tabs>
                    <w:jc w:val="center"/>
                    <w:rPr>
                      <w:color w:val="000000"/>
                      <w:sz w:val="18"/>
                      <w:szCs w:val="18"/>
                    </w:rPr>
                  </w:pPr>
                </w:p>
              </w:tc>
              <w:tc>
                <w:tcPr>
                  <w:tcW w:w="500" w:type="pct"/>
                  <w:vMerge w:val="continue"/>
                  <w:shd w:val="clear" w:color="auto" w:fill="auto"/>
                  <w:vAlign w:val="center"/>
                </w:tcPr>
                <w:p>
                  <w:pPr>
                    <w:tabs>
                      <w:tab w:val="center" w:pos="4180"/>
                      <w:tab w:val="right" w:pos="8360"/>
                    </w:tabs>
                    <w:snapToGrid w:val="0"/>
                    <w:jc w:val="center"/>
                    <w:rPr>
                      <w:color w:val="000000"/>
                      <w:sz w:val="18"/>
                      <w:szCs w:val="18"/>
                    </w:rPr>
                  </w:pPr>
                </w:p>
              </w:tc>
              <w:tc>
                <w:tcPr>
                  <w:tcW w:w="3747" w:type="pct"/>
                  <w:tcBorders>
                    <w:bottom w:val="single" w:color="auto" w:sz="4" w:space="0"/>
                  </w:tcBorders>
                  <w:shd w:val="clear" w:color="auto" w:fill="auto"/>
                  <w:vAlign w:val="center"/>
                </w:tcPr>
                <w:p>
                  <w:pPr>
                    <w:adjustRightInd w:val="0"/>
                    <w:snapToGrid w:val="0"/>
                    <w:jc w:val="left"/>
                    <w:rPr>
                      <w:color w:val="000000"/>
                      <w:sz w:val="18"/>
                      <w:szCs w:val="18"/>
                    </w:rPr>
                  </w:pPr>
                  <w:r>
                    <w:rPr>
                      <w:color w:val="000000"/>
                      <w:sz w:val="18"/>
                      <w:szCs w:val="18"/>
                    </w:rPr>
                    <w:t>熟悉辐射事故应急预案的内容，发现异常情况后，能有效处理。</w:t>
                  </w:r>
                </w:p>
              </w:tc>
              <w:tc>
                <w:tcPr>
                  <w:tcW w:w="510" w:type="pct"/>
                  <w:vMerge w:val="continue"/>
                  <w:shd w:val="clear" w:color="auto" w:fill="auto"/>
                  <w:vAlign w:val="center"/>
                </w:tcPr>
                <w:p>
                  <w:pPr>
                    <w:adjustRightInd w:val="0"/>
                    <w:snapToGrid w:val="0"/>
                    <w:jc w:val="center"/>
                    <w:rPr>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pct"/>
                  <w:gridSpan w:val="2"/>
                  <w:tcBorders>
                    <w:bottom w:val="single" w:color="auto" w:sz="12" w:space="0"/>
                  </w:tcBorders>
                  <w:shd w:val="clear" w:color="auto" w:fill="auto"/>
                  <w:vAlign w:val="center"/>
                </w:tcPr>
                <w:p>
                  <w:pPr>
                    <w:tabs>
                      <w:tab w:val="center" w:pos="4180"/>
                      <w:tab w:val="right" w:pos="8360"/>
                    </w:tabs>
                    <w:snapToGrid w:val="0"/>
                    <w:jc w:val="center"/>
                    <w:rPr>
                      <w:color w:val="000000"/>
                      <w:sz w:val="18"/>
                      <w:szCs w:val="18"/>
                    </w:rPr>
                  </w:pPr>
                  <w:r>
                    <w:rPr>
                      <w:color w:val="000000"/>
                      <w:sz w:val="18"/>
                      <w:szCs w:val="18"/>
                    </w:rPr>
                    <w:t>机构建设</w:t>
                  </w:r>
                </w:p>
              </w:tc>
              <w:tc>
                <w:tcPr>
                  <w:tcW w:w="3747" w:type="pct"/>
                  <w:tcBorders>
                    <w:top w:val="single" w:color="auto" w:sz="4" w:space="0"/>
                    <w:bottom w:val="single" w:color="auto" w:sz="12" w:space="0"/>
                  </w:tcBorders>
                  <w:shd w:val="clear" w:color="auto" w:fill="auto"/>
                  <w:vAlign w:val="center"/>
                </w:tcPr>
                <w:p>
                  <w:pPr>
                    <w:adjustRightInd w:val="0"/>
                    <w:snapToGrid w:val="0"/>
                    <w:jc w:val="left"/>
                    <w:rPr>
                      <w:color w:val="000000"/>
                      <w:sz w:val="18"/>
                      <w:szCs w:val="18"/>
                    </w:rPr>
                  </w:pPr>
                  <w:r>
                    <w:rPr>
                      <w:color w:val="000000"/>
                      <w:sz w:val="18"/>
                      <w:szCs w:val="18"/>
                    </w:rPr>
                    <w:t>设立辐射环境安全管理机构和专（兼）职人员，以正式文件明确辐射安全与环境保护管理机构和负责人。</w:t>
                  </w:r>
                </w:p>
              </w:tc>
              <w:tc>
                <w:tcPr>
                  <w:tcW w:w="510" w:type="pct"/>
                  <w:tcBorders>
                    <w:bottom w:val="single" w:color="auto" w:sz="12" w:space="0"/>
                  </w:tcBorders>
                  <w:shd w:val="clear" w:color="auto" w:fill="auto"/>
                  <w:vAlign w:val="center"/>
                </w:tcPr>
                <w:p>
                  <w:pPr>
                    <w:adjustRightInd w:val="0"/>
                    <w:snapToGrid w:val="0"/>
                    <w:jc w:val="center"/>
                    <w:rPr>
                      <w:color w:val="000000"/>
                      <w:sz w:val="18"/>
                      <w:szCs w:val="18"/>
                    </w:rPr>
                  </w:pPr>
                  <w:r>
                    <w:rPr>
                      <w:color w:val="000000"/>
                      <w:sz w:val="18"/>
                      <w:szCs w:val="18"/>
                    </w:rPr>
                    <w:t>已设置</w:t>
                  </w:r>
                </w:p>
              </w:tc>
            </w:tr>
          </w:tbl>
          <w:p>
            <w:pPr>
              <w:widowControl/>
              <w:spacing w:line="360" w:lineRule="auto"/>
              <w:ind w:firstLine="482" w:firstLineChars="200"/>
              <w:rPr>
                <w:b/>
                <w:bCs/>
              </w:rPr>
            </w:pPr>
            <w:r>
              <w:rPr>
                <w:rFonts w:hint="eastAsia"/>
                <w:b/>
                <w:bCs/>
              </w:rPr>
              <w:t>12.2.</w:t>
            </w:r>
            <w:r>
              <w:rPr>
                <w:b/>
                <w:bCs/>
              </w:rPr>
              <w:t>2</w:t>
            </w:r>
            <w:r>
              <w:rPr>
                <w:rFonts w:hint="eastAsia"/>
                <w:b/>
                <w:bCs/>
              </w:rPr>
              <w:t xml:space="preserve"> 辐射安全管理规章制度</w:t>
            </w:r>
          </w:p>
          <w:p>
            <w:pPr>
              <w:autoSpaceDE w:val="0"/>
              <w:autoSpaceDN w:val="0"/>
              <w:adjustRightInd w:val="0"/>
              <w:spacing w:line="360" w:lineRule="auto"/>
              <w:ind w:firstLine="480" w:firstLineChars="200"/>
              <w:rPr>
                <w:color w:val="000000"/>
              </w:rPr>
            </w:pPr>
            <w:r>
              <w:rPr>
                <w:rFonts w:hint="eastAsia"/>
                <w:color w:val="000000"/>
                <w:szCs w:val="28"/>
              </w:rPr>
              <w:t>通用环球中铁西安医院</w:t>
            </w:r>
            <w:r>
              <w:rPr>
                <w:color w:val="000000"/>
              </w:rPr>
              <w:t>已制定了较为完善的辐射安全管理制度和操作规程，</w:t>
            </w:r>
            <w:r>
              <w:rPr>
                <w:color w:val="000000"/>
                <w:szCs w:val="28"/>
              </w:rPr>
              <w:t>通过不断完善相关的辐射安全管理制度和人员培训，</w:t>
            </w:r>
            <w:r>
              <w:rPr>
                <w:color w:val="000000"/>
              </w:rPr>
              <w:t>确保射线装置的安全使用。</w:t>
            </w:r>
          </w:p>
          <w:p>
            <w:pPr>
              <w:pStyle w:val="2"/>
              <w:ind w:firstLine="480"/>
              <w:rPr>
                <w:rFonts w:ascii="宋体" w:hAnsi="宋体" w:eastAsia="宋体" w:cs="宋体"/>
              </w:rPr>
            </w:pPr>
            <w:r>
              <w:rPr>
                <w:rFonts w:hint="eastAsia"/>
              </w:rPr>
              <w:t>医院已制定了较为完善的规章制度，主要有：</w:t>
            </w:r>
            <w:r>
              <w:rPr>
                <w:rFonts w:hint="eastAsia" w:ascii="宋体" w:hAnsi="宋体" w:eastAsia="宋体" w:cs="宋体"/>
                <w:color w:val="000000"/>
              </w:rPr>
              <w:t>《放射科设备操作规程》、《放射防护管理制度》、《放射科设备维修制度》、《放射科设备的维护、保养制度》、《放射科辐射安全管理制度》、《放射科</w:t>
            </w:r>
            <w:r>
              <w:rPr>
                <w:rFonts w:hint="eastAsia"/>
                <w:color w:val="000000"/>
              </w:rPr>
              <w:t>X</w:t>
            </w:r>
            <w:r>
              <w:rPr>
                <w:rFonts w:hint="eastAsia" w:ascii="宋体" w:hAnsi="宋体" w:eastAsia="宋体" w:cs="宋体"/>
                <w:color w:val="000000"/>
              </w:rPr>
              <w:t>线辐射防护管理制度》、《放射科设备使用制度》、《放射工作人员岗位职责》、《放射科辐射监测计划》、《放射工作人员档案管理制度》</w:t>
            </w:r>
            <w:r>
              <w:rPr>
                <w:rFonts w:hint="eastAsia"/>
                <w:color w:val="000000"/>
              </w:rPr>
              <w:t>、</w:t>
            </w:r>
            <w:r>
              <w:rPr>
                <w:rFonts w:hint="eastAsia"/>
                <w:color w:val="000000" w:themeColor="text1"/>
                <w14:textFill>
                  <w14:solidFill>
                    <w14:schemeClr w14:val="tx1"/>
                  </w14:solidFill>
                </w14:textFill>
              </w:rPr>
              <w:t>《辐射事故应急预案》等</w:t>
            </w:r>
            <w:r>
              <w:rPr>
                <w:rFonts w:hint="eastAsia" w:ascii="宋体" w:hAnsi="宋体" w:eastAsia="宋体" w:cs="宋体"/>
                <w:color w:val="000000" w:themeColor="text1"/>
                <w14:textFill>
                  <w14:solidFill>
                    <w14:schemeClr w14:val="tx1"/>
                  </w14:solidFill>
                </w14:textFill>
              </w:rPr>
              <w:t>。</w:t>
            </w:r>
          </w:p>
          <w:p>
            <w:pPr>
              <w:spacing w:line="360" w:lineRule="auto"/>
              <w:ind w:firstLine="470" w:firstLineChars="196"/>
              <w:rPr>
                <w:color w:val="000000"/>
              </w:rPr>
            </w:pPr>
            <w:r>
              <w:rPr>
                <w:color w:val="000000"/>
              </w:rPr>
              <w:t>环评要求：医院应针对本项目应用的数字减影血管造影机制定相应的《辐射安全操作</w:t>
            </w:r>
            <w:r>
              <w:rPr>
                <w:rFonts w:hint="eastAsia"/>
                <w:color w:val="000000"/>
              </w:rPr>
              <w:t>规程</w:t>
            </w:r>
            <w:r>
              <w:rPr>
                <w:color w:val="000000"/>
              </w:rPr>
              <w:t>》，并将本次环评内容纳入医院现有的规章制度之中，修改并完善医院相关的规章管理制度。医院应根据射线装置实际使用情况，不断修改和完善操作规程、岗位职责</w:t>
            </w:r>
            <w:r>
              <w:rPr>
                <w:rFonts w:hint="eastAsia"/>
                <w:color w:val="000000"/>
              </w:rPr>
              <w:t>、</w:t>
            </w:r>
            <w:r>
              <w:rPr>
                <w:color w:val="000000"/>
              </w:rPr>
              <w:t>设备检修维护制度、监测方案，使其具有更强的针对性和可操作性。按照国家标准相关规定，配备与辐射类型、规模相适应的个人防护用品。</w:t>
            </w:r>
          </w:p>
          <w:p>
            <w:pPr>
              <w:widowControl/>
              <w:spacing w:line="360" w:lineRule="auto"/>
              <w:ind w:firstLine="480" w:firstLineChars="200"/>
              <w:rPr>
                <w:color w:val="000000"/>
              </w:rPr>
            </w:pPr>
            <w:r>
              <w:rPr>
                <w:color w:val="000000"/>
              </w:rPr>
              <w:t>在今后日常工作中应严格落实各项辐射安全管理制度中的内容，根据今后实际工作对其进行不断完善，能够满足辐射安全管理的要求。</w:t>
            </w:r>
          </w:p>
          <w:p>
            <w:pPr>
              <w:widowControl/>
              <w:spacing w:line="360" w:lineRule="auto"/>
              <w:ind w:firstLine="482" w:firstLineChars="200"/>
              <w:rPr>
                <w:b/>
                <w:bCs/>
              </w:rPr>
            </w:pPr>
            <w:r>
              <w:rPr>
                <w:rFonts w:hint="eastAsia"/>
                <w:b/>
                <w:bCs/>
              </w:rPr>
              <w:t>12.2.</w:t>
            </w:r>
            <w:r>
              <w:rPr>
                <w:b/>
                <w:bCs/>
              </w:rPr>
              <w:t>3</w:t>
            </w:r>
            <w:r>
              <w:rPr>
                <w:rFonts w:hint="eastAsia"/>
                <w:b/>
                <w:bCs/>
              </w:rPr>
              <w:t xml:space="preserve"> 档案管理</w:t>
            </w:r>
          </w:p>
          <w:p>
            <w:pPr>
              <w:snapToGrid w:val="0"/>
              <w:spacing w:line="360" w:lineRule="auto"/>
              <w:ind w:firstLine="480" w:firstLineChars="200"/>
            </w:pPr>
            <w:r>
              <w:t>根据《放射性同位素与射线装置安全和防护管理办法》（2011年5月1日实行）第二十三条规定：生产、销售、使用放射性同位素与射线装置的单位，应当安排专人负责个人剂量监测管理，建立辐射工作人员个人剂量档案。个人剂量档案应当包括个人基本信息、工作岗位、剂量监测结果等材料</w:t>
            </w:r>
            <w:r>
              <w:rPr>
                <w:rFonts w:hint="eastAsia"/>
              </w:rPr>
              <w:t>，个人剂量档案终生保存</w:t>
            </w:r>
            <w:r>
              <w:t>。</w:t>
            </w:r>
          </w:p>
          <w:p>
            <w:pPr>
              <w:snapToGrid w:val="0"/>
              <w:spacing w:line="360" w:lineRule="auto"/>
              <w:ind w:firstLine="480" w:firstLineChars="200"/>
            </w:pPr>
            <w:r>
              <w:t>环评要求：医院应按照相关法律、行政法规以及国家环境保护和职业卫生标准，对本单位的辐射工作人员进行个人剂量监测；发现个人剂量监测结果异常的，应当立即核实和调查，并将有关情况及时报告辐射安全许可证发证机关。应建立放射工作人员个人剂量档案，包括个人基本信息、工作岗位、剂量监测结果等材料，并且组织上岗后的放射工作人员定期进行职业健康检查，两次检查的时间间隔应不超过2年。</w:t>
            </w:r>
          </w:p>
          <w:p>
            <w:pPr>
              <w:widowControl/>
              <w:spacing w:line="360" w:lineRule="auto"/>
              <w:ind w:firstLine="482" w:firstLineChars="200"/>
              <w:rPr>
                <w:b/>
                <w:bCs/>
              </w:rPr>
            </w:pPr>
            <w:r>
              <w:rPr>
                <w:rFonts w:hint="eastAsia"/>
                <w:b/>
                <w:bCs/>
              </w:rPr>
              <w:t>12.2.</w:t>
            </w:r>
            <w:r>
              <w:rPr>
                <w:b/>
                <w:bCs/>
              </w:rPr>
              <w:t>4</w:t>
            </w:r>
            <w:r>
              <w:rPr>
                <w:rFonts w:hint="eastAsia"/>
                <w:b/>
                <w:bCs/>
              </w:rPr>
              <w:t>辐射工作人员培训</w:t>
            </w:r>
          </w:p>
          <w:p>
            <w:pPr>
              <w:spacing w:line="360" w:lineRule="auto"/>
              <w:ind w:firstLine="480" w:firstLineChars="200"/>
              <w:rPr>
                <w:color w:val="000000"/>
              </w:rPr>
            </w:pPr>
            <w:r>
              <w:rPr>
                <w:rFonts w:hint="eastAsia"/>
                <w:color w:val="000000"/>
              </w:rPr>
              <w:t>通用环球中铁西安医院</w:t>
            </w:r>
            <w:r>
              <w:rPr>
                <w:color w:val="000000"/>
              </w:rPr>
              <w:t>从事放射性操作相关的辐射工作人员和负责辐射安全防护的相关管理人员必须经辐射安全和防护专业知识以及相关法规的学习和考核，持证上岗。</w:t>
            </w:r>
          </w:p>
          <w:p>
            <w:pPr>
              <w:spacing w:line="360" w:lineRule="auto"/>
              <w:ind w:firstLine="480"/>
              <w:rPr>
                <w:color w:val="000000"/>
              </w:rPr>
            </w:pPr>
            <w:r>
              <w:rPr>
                <w:color w:val="000000"/>
              </w:rPr>
              <w:t>环评要求：医院DSA介入</w:t>
            </w:r>
            <w:r>
              <w:rPr>
                <w:rFonts w:hint="eastAsia"/>
                <w:color w:val="000000"/>
              </w:rPr>
              <w:t>医护</w:t>
            </w:r>
            <w:r>
              <w:rPr>
                <w:color w:val="000000"/>
              </w:rPr>
              <w:t>人员和</w:t>
            </w:r>
            <w:r>
              <w:rPr>
                <w:rFonts w:hint="eastAsia"/>
                <w:color w:val="000000"/>
              </w:rPr>
              <w:t>操作间</w:t>
            </w:r>
            <w:r>
              <w:rPr>
                <w:color w:val="000000"/>
              </w:rPr>
              <w:t>工作人员、医院辐射管理人员应通过生态环境部国家核技术利用辐射安全与防护培训平台进行辐射安全和防护专业知识学习，经考核合格，取得相应类别成绩合格单后持证上岗；成绩合格单到期后，应定期进行再学习，重新考取成绩合格单持证上岗。未取得相应类别成绩合格单的人员，不得进行放射性操作。</w:t>
            </w:r>
            <w:r>
              <w:rPr>
                <w:rFonts w:hint="eastAsia"/>
                <w:color w:val="000000"/>
              </w:rPr>
              <w:t>通用环球中铁西安医院</w:t>
            </w:r>
            <w:r>
              <w:rPr>
                <w:color w:val="000000"/>
              </w:rPr>
              <w:t>Ⅲ类射线装置辐射工作人员，应登录国家核技术利用辐射安全与防护培训平台，学习相应类别的辐射安全与防护知识，医院应按照规定考试规则自行组织考核，考核记录存档备查，档案保存时间不低于5年。</w:t>
            </w:r>
          </w:p>
          <w:p>
            <w:pPr>
              <w:widowControl/>
              <w:spacing w:line="360" w:lineRule="auto"/>
              <w:ind w:firstLine="482" w:firstLineChars="200"/>
              <w:rPr>
                <w:b/>
                <w:bCs/>
              </w:rPr>
            </w:pPr>
            <w:r>
              <w:rPr>
                <w:rFonts w:hint="eastAsia"/>
                <w:b/>
                <w:bCs/>
              </w:rPr>
              <w:t>12.2.</w:t>
            </w:r>
            <w:r>
              <w:rPr>
                <w:b/>
                <w:bCs/>
              </w:rPr>
              <w:t>5</w:t>
            </w:r>
            <w:r>
              <w:rPr>
                <w:rFonts w:hint="eastAsia"/>
                <w:b/>
                <w:bCs/>
              </w:rPr>
              <w:t xml:space="preserve"> 年度评估</w:t>
            </w:r>
          </w:p>
          <w:p>
            <w:pPr>
              <w:snapToGrid w:val="0"/>
              <w:spacing w:line="360" w:lineRule="auto"/>
              <w:ind w:firstLine="480" w:firstLineChars="200"/>
            </w:pPr>
            <w:r>
              <w:rPr>
                <w:rFonts w:hint="eastAsia"/>
              </w:rPr>
              <w:t>根据《放射性同位素与射线装置安全和防护管理办法》（2011年5月1日实行）第十二条规定：生产、销售、使用放射性同位素与射线装置的单位，应当对本单位的放射性同位素与射线装置的安全和防护状况进行年度评估，并于每年1月31日前向发证机关提交上一年度的评估报告。</w:t>
            </w:r>
          </w:p>
          <w:p>
            <w:pPr>
              <w:snapToGrid w:val="0"/>
              <w:spacing w:line="360" w:lineRule="auto"/>
              <w:ind w:firstLine="480" w:firstLineChars="200"/>
            </w:pPr>
            <w:r>
              <w:rPr>
                <w:rFonts w:hint="eastAsia"/>
              </w:rPr>
              <w:t>环评要求：医院应当对本单位的放射性同位素与射线装置的安全和防护状况进行年度评估，年度评估报告包括医用X射线装置台账、辐射安全和防护设施的运行与维护、辐射安全和防护制度及措施的建立和落实、辐射工作人员变动及接受辐射安全和防护知识教育培训情况、辐射事故及应急响应情况以及档案管理等方面的内容。</w:t>
            </w:r>
          </w:p>
          <w:p>
            <w:pPr>
              <w:spacing w:line="360" w:lineRule="auto"/>
              <w:rPr>
                <w:b/>
                <w:bCs/>
                <w:sz w:val="28"/>
                <w:szCs w:val="28"/>
              </w:rPr>
            </w:pPr>
            <w:r>
              <w:rPr>
                <w:rFonts w:hint="eastAsia"/>
                <w:b/>
                <w:bCs/>
                <w:sz w:val="28"/>
                <w:szCs w:val="28"/>
              </w:rPr>
              <w:t>12.</w:t>
            </w:r>
            <w:r>
              <w:rPr>
                <w:b/>
                <w:bCs/>
                <w:sz w:val="28"/>
                <w:szCs w:val="28"/>
              </w:rPr>
              <w:t>3</w:t>
            </w:r>
            <w:r>
              <w:rPr>
                <w:rFonts w:hint="eastAsia"/>
                <w:b/>
                <w:bCs/>
                <w:sz w:val="28"/>
                <w:szCs w:val="28"/>
              </w:rPr>
              <w:t xml:space="preserve"> </w:t>
            </w:r>
            <w:r>
              <w:rPr>
                <w:b/>
                <w:bCs/>
                <w:sz w:val="28"/>
                <w:szCs w:val="28"/>
              </w:rPr>
              <w:t>辐射监测</w:t>
            </w:r>
            <w:r>
              <w:rPr>
                <w:rFonts w:hint="eastAsia"/>
                <w:b/>
                <w:bCs/>
                <w:sz w:val="28"/>
                <w:szCs w:val="28"/>
              </w:rPr>
              <w:t>计划</w:t>
            </w:r>
          </w:p>
          <w:p>
            <w:pPr>
              <w:spacing w:line="360" w:lineRule="auto"/>
              <w:ind w:firstLine="482" w:firstLineChars="200"/>
              <w:rPr>
                <w:b/>
                <w:bCs/>
              </w:rPr>
            </w:pPr>
            <w:r>
              <w:rPr>
                <w:rFonts w:hint="eastAsia"/>
                <w:b/>
                <w:bCs/>
              </w:rPr>
              <w:t>12.</w:t>
            </w:r>
            <w:r>
              <w:rPr>
                <w:b/>
                <w:bCs/>
              </w:rPr>
              <w:t>3.1</w:t>
            </w:r>
            <w:r>
              <w:rPr>
                <w:rFonts w:hint="eastAsia"/>
                <w:b/>
                <w:bCs/>
              </w:rPr>
              <w:t xml:space="preserve"> 验收监测</w:t>
            </w:r>
          </w:p>
          <w:p>
            <w:pPr>
              <w:autoSpaceDE w:val="0"/>
              <w:autoSpaceDN w:val="0"/>
              <w:adjustRightInd w:val="0"/>
              <w:spacing w:line="360" w:lineRule="auto"/>
              <w:ind w:firstLine="480" w:firstLineChars="200"/>
              <w:rPr>
                <w:color w:val="000000"/>
                <w:kern w:val="0"/>
              </w:rPr>
            </w:pPr>
            <w:r>
              <w:rPr>
                <w:rFonts w:hint="eastAsia"/>
                <w:color w:val="000000" w:themeColor="text1"/>
                <w:kern w:val="0"/>
                <w14:textFill>
                  <w14:solidFill>
                    <w14:schemeClr w14:val="tx1"/>
                  </w14:solidFill>
                </w14:textFill>
              </w:rPr>
              <w:t>数字减影血管造影机（DSA）</w:t>
            </w:r>
            <w:r>
              <w:rPr>
                <w:rFonts w:hint="eastAsia"/>
                <w:color w:val="000000"/>
                <w:kern w:val="0"/>
              </w:rPr>
              <w:t>正式投运前，医院应委托有资质的监测单位对其工作场所以及周边环境进行竣工环境保护验收监测，并检查各项辐射安全设施的有效性，确保其处于正常的工作状态。验收通过后，方可投入正常使用。</w:t>
            </w:r>
          </w:p>
          <w:p>
            <w:pPr>
              <w:spacing w:line="360" w:lineRule="auto"/>
              <w:ind w:firstLine="482" w:firstLineChars="200"/>
              <w:rPr>
                <w:b/>
                <w:bCs/>
              </w:rPr>
            </w:pPr>
            <w:r>
              <w:rPr>
                <w:rFonts w:hint="eastAsia"/>
                <w:b/>
                <w:bCs/>
              </w:rPr>
              <w:t>12.</w:t>
            </w:r>
            <w:r>
              <w:rPr>
                <w:b/>
                <w:bCs/>
              </w:rPr>
              <w:t xml:space="preserve">3.2 </w:t>
            </w:r>
            <w:r>
              <w:rPr>
                <w:rFonts w:hint="eastAsia"/>
                <w:b/>
                <w:bCs/>
              </w:rPr>
              <w:t>工作场所以及外环境监测</w:t>
            </w:r>
          </w:p>
          <w:p>
            <w:pPr>
              <w:autoSpaceDE w:val="0"/>
              <w:autoSpaceDN w:val="0"/>
              <w:adjustRightInd w:val="0"/>
              <w:spacing w:line="360" w:lineRule="auto"/>
              <w:ind w:firstLine="480" w:firstLineChars="200"/>
              <w:rPr>
                <w:color w:val="000000"/>
                <w:kern w:val="0"/>
              </w:rPr>
            </w:pPr>
            <w:r>
              <w:rPr>
                <w:rFonts w:hint="eastAsia"/>
                <w:color w:val="000000"/>
                <w:kern w:val="0"/>
              </w:rPr>
              <w:t>医院应按照《电离辐射防护与辐射源安全基本标准》（GB18871-2002）、《辐射环境监测技术规范》（HJ 61-2021）及《放射性同位素与射线装置安全和防护条例》（国务院令第449号）等相关标准和规范的要求，对工作人员操作位、机房四周环境射线泄漏情况进行监测。</w:t>
            </w:r>
          </w:p>
          <w:p>
            <w:pPr>
              <w:autoSpaceDE w:val="0"/>
              <w:autoSpaceDN w:val="0"/>
              <w:adjustRightInd w:val="0"/>
              <w:spacing w:line="360" w:lineRule="auto"/>
              <w:ind w:firstLine="480" w:firstLineChars="200"/>
              <w:rPr>
                <w:color w:val="000000"/>
                <w:kern w:val="0"/>
              </w:rPr>
            </w:pPr>
            <w:r>
              <w:rPr>
                <w:rFonts w:hint="eastAsia"/>
                <w:color w:val="000000"/>
                <w:kern w:val="0"/>
              </w:rPr>
              <w:t>年度监测：医院每年应委托有辐射环境监测资质的监测机构，对正常工况下射线装置工作场所以及周边环境进行1次监测。</w:t>
            </w:r>
          </w:p>
          <w:p>
            <w:pPr>
              <w:autoSpaceDE w:val="0"/>
              <w:autoSpaceDN w:val="0"/>
              <w:adjustRightInd w:val="0"/>
              <w:spacing w:line="360" w:lineRule="auto"/>
              <w:ind w:firstLine="480" w:firstLineChars="200"/>
              <w:rPr>
                <w:color w:val="000000"/>
                <w:kern w:val="0"/>
              </w:rPr>
            </w:pPr>
            <w:r>
              <w:rPr>
                <w:rFonts w:hint="eastAsia"/>
                <w:color w:val="000000"/>
                <w:kern w:val="0"/>
              </w:rPr>
              <w:t>自行监测：医院应至少配备一台X-γ辐射剂量率仪（仪器经检定或校准合格），制定日常监测计划，在DSA设备透视状态下，定期对DSA手术室防护门及缝隙处，观察窗外表面30cm处、屏蔽墙体外表面30cm处、手术室顶棚地面1m处、手术室楼下地面1.7m处、操作间工作人员操作位、管线穿墙位置等处进行辐射监测，监测频次不少于每季度一次，并建立监测数据档案。环评要求：医院已配备的X-γ剂量率监测仪器，应每年进行检定，确保仪器处于有效的范围之内。按照监测计划定期对项目所在地及周边环境进行日常监测，将监测结果与标准规定值进行比较，做好日常监测记录，存档备查。当测量值高于标准规定值时，应立即查明原因并采取相应的整改措施，确保其剂量率控制水平满足标准限值要求。</w:t>
            </w:r>
          </w:p>
          <w:p>
            <w:pPr>
              <w:spacing w:before="105"/>
              <w:jc w:val="center"/>
              <w:rPr>
                <w:rFonts w:hAnsi="黑体" w:eastAsia="黑体"/>
                <w:bCs/>
              </w:rPr>
            </w:pPr>
            <w:r>
              <w:rPr>
                <w:rFonts w:hint="eastAsia" w:hAnsi="黑体" w:eastAsia="黑体"/>
                <w:bCs/>
              </w:rPr>
              <w:t>表12-</w:t>
            </w:r>
            <w:r>
              <w:rPr>
                <w:rFonts w:hAnsi="黑体" w:eastAsia="黑体"/>
                <w:bCs/>
              </w:rPr>
              <w:t>2</w:t>
            </w:r>
            <w:r>
              <w:rPr>
                <w:rFonts w:hint="eastAsia" w:hAnsi="黑体" w:eastAsia="黑体"/>
                <w:bCs/>
              </w:rPr>
              <w:t xml:space="preserve">  放射性工作场所以及外环境监测计划建议</w:t>
            </w:r>
          </w:p>
          <w:tbl>
            <w:tblPr>
              <w:tblStyle w:val="16"/>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3704"/>
              <w:gridCol w:w="1477"/>
              <w:gridCol w:w="2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5" w:type="dxa"/>
                  <w:shd w:val="clear" w:color="auto" w:fill="auto"/>
                  <w:vAlign w:val="center"/>
                </w:tcPr>
                <w:p>
                  <w:pPr>
                    <w:jc w:val="center"/>
                    <w:rPr>
                      <w:bCs/>
                      <w:sz w:val="21"/>
                      <w:szCs w:val="21"/>
                    </w:rPr>
                  </w:pPr>
                  <w:r>
                    <w:rPr>
                      <w:bCs/>
                      <w:sz w:val="21"/>
                      <w:szCs w:val="21"/>
                    </w:rPr>
                    <w:t>序号</w:t>
                  </w:r>
                </w:p>
              </w:tc>
              <w:tc>
                <w:tcPr>
                  <w:tcW w:w="3704" w:type="dxa"/>
                  <w:shd w:val="clear" w:color="auto" w:fill="auto"/>
                  <w:vAlign w:val="center"/>
                </w:tcPr>
                <w:p>
                  <w:pPr>
                    <w:jc w:val="center"/>
                    <w:rPr>
                      <w:bCs/>
                      <w:sz w:val="21"/>
                      <w:szCs w:val="21"/>
                    </w:rPr>
                  </w:pPr>
                  <w:r>
                    <w:rPr>
                      <w:bCs/>
                      <w:sz w:val="21"/>
                      <w:szCs w:val="21"/>
                    </w:rPr>
                    <w:t>监测区域及点位</w:t>
                  </w:r>
                </w:p>
              </w:tc>
              <w:tc>
                <w:tcPr>
                  <w:tcW w:w="1477" w:type="dxa"/>
                  <w:shd w:val="clear" w:color="auto" w:fill="auto"/>
                  <w:vAlign w:val="center"/>
                </w:tcPr>
                <w:p>
                  <w:pPr>
                    <w:jc w:val="center"/>
                    <w:rPr>
                      <w:bCs/>
                      <w:sz w:val="21"/>
                      <w:szCs w:val="21"/>
                    </w:rPr>
                  </w:pPr>
                  <w:r>
                    <w:rPr>
                      <w:bCs/>
                      <w:sz w:val="21"/>
                      <w:szCs w:val="21"/>
                    </w:rPr>
                    <w:t>检测内容</w:t>
                  </w:r>
                </w:p>
              </w:tc>
              <w:tc>
                <w:tcPr>
                  <w:tcW w:w="2680" w:type="dxa"/>
                  <w:shd w:val="clear" w:color="auto" w:fill="auto"/>
                  <w:vAlign w:val="center"/>
                </w:tcPr>
                <w:p>
                  <w:pPr>
                    <w:jc w:val="center"/>
                    <w:rPr>
                      <w:bCs/>
                      <w:sz w:val="21"/>
                      <w:szCs w:val="21"/>
                    </w:rPr>
                  </w:pPr>
                  <w:r>
                    <w:rPr>
                      <w:bCs/>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jc w:val="center"/>
              </w:trPr>
              <w:tc>
                <w:tcPr>
                  <w:tcW w:w="655" w:type="dxa"/>
                  <w:shd w:val="clear" w:color="auto" w:fill="auto"/>
                  <w:vAlign w:val="center"/>
                </w:tcPr>
                <w:p>
                  <w:pPr>
                    <w:jc w:val="center"/>
                    <w:rPr>
                      <w:sz w:val="21"/>
                      <w:szCs w:val="21"/>
                    </w:rPr>
                  </w:pPr>
                  <w:r>
                    <w:rPr>
                      <w:sz w:val="21"/>
                      <w:szCs w:val="21"/>
                    </w:rPr>
                    <w:t>1</w:t>
                  </w:r>
                </w:p>
              </w:tc>
              <w:tc>
                <w:tcPr>
                  <w:tcW w:w="3704" w:type="dxa"/>
                  <w:shd w:val="clear" w:color="auto" w:fill="auto"/>
                  <w:vAlign w:val="center"/>
                </w:tcPr>
                <w:p>
                  <w:pPr>
                    <w:jc w:val="center"/>
                    <w:rPr>
                      <w:sz w:val="21"/>
                      <w:szCs w:val="21"/>
                    </w:rPr>
                  </w:pPr>
                  <w:r>
                    <w:rPr>
                      <w:rFonts w:hint="eastAsia"/>
                      <w:sz w:val="21"/>
                      <w:szCs w:val="21"/>
                    </w:rPr>
                    <w:t>透视条件下，DSA手术室屏蔽墙体外表面30cm处、防护门窗及缝隙外表面30cm处、手术室顶棚地面1m处、手术室楼下地面1.7m处、工作人员操作位、管线洞口位置处</w:t>
                  </w:r>
                </w:p>
              </w:tc>
              <w:tc>
                <w:tcPr>
                  <w:tcW w:w="1477" w:type="dxa"/>
                  <w:shd w:val="clear" w:color="auto" w:fill="auto"/>
                  <w:vAlign w:val="center"/>
                </w:tcPr>
                <w:p>
                  <w:pPr>
                    <w:jc w:val="center"/>
                    <w:rPr>
                      <w:sz w:val="21"/>
                      <w:szCs w:val="21"/>
                    </w:rPr>
                  </w:pPr>
                  <w:r>
                    <w:rPr>
                      <w:sz w:val="21"/>
                      <w:szCs w:val="21"/>
                    </w:rPr>
                    <w:t>X-γ</w:t>
                  </w:r>
                  <w:r>
                    <w:rPr>
                      <w:rFonts w:hint="eastAsia"/>
                      <w:sz w:val="21"/>
                      <w:szCs w:val="21"/>
                    </w:rPr>
                    <w:t>辐射</w:t>
                  </w:r>
                  <w:r>
                    <w:rPr>
                      <w:sz w:val="21"/>
                      <w:szCs w:val="21"/>
                    </w:rPr>
                    <w:t>剂量率</w:t>
                  </w:r>
                </w:p>
              </w:tc>
              <w:tc>
                <w:tcPr>
                  <w:tcW w:w="2680" w:type="dxa"/>
                  <w:shd w:val="clear" w:color="auto" w:fill="auto"/>
                  <w:vAlign w:val="center"/>
                </w:tcPr>
                <w:p>
                  <w:pPr>
                    <w:jc w:val="center"/>
                    <w:rPr>
                      <w:sz w:val="21"/>
                      <w:szCs w:val="21"/>
                    </w:rPr>
                  </w:pPr>
                  <w:r>
                    <w:rPr>
                      <w:rFonts w:hint="eastAsia"/>
                      <w:kern w:val="0"/>
                      <w:sz w:val="21"/>
                      <w:szCs w:val="21"/>
                    </w:rPr>
                    <w:t>竣工验收监测项目投运前监测1次，医院自主监测应至少每季度进行监测；委托有资质单位监测每年监测一次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16" w:type="dxa"/>
                  <w:gridSpan w:val="4"/>
                  <w:shd w:val="clear" w:color="auto" w:fill="auto"/>
                  <w:vAlign w:val="center"/>
                </w:tcPr>
                <w:p>
                  <w:pPr>
                    <w:rPr>
                      <w:sz w:val="18"/>
                      <w:szCs w:val="18"/>
                    </w:rPr>
                  </w:pPr>
                  <w:r>
                    <w:rPr>
                      <w:sz w:val="18"/>
                      <w:szCs w:val="18"/>
                    </w:rPr>
                    <w:t>备注</w:t>
                  </w:r>
                  <w:r>
                    <w:rPr>
                      <w:rFonts w:hint="eastAsia"/>
                      <w:sz w:val="18"/>
                      <w:szCs w:val="18"/>
                    </w:rPr>
                    <w:t>：</w:t>
                  </w:r>
                  <w:r>
                    <w:rPr>
                      <w:sz w:val="18"/>
                      <w:szCs w:val="18"/>
                    </w:rPr>
                    <w:t>应在</w:t>
                  </w:r>
                  <w:r>
                    <w:rPr>
                      <w:rFonts w:hint="eastAsia"/>
                      <w:sz w:val="18"/>
                      <w:szCs w:val="18"/>
                    </w:rPr>
                    <w:t>数字减影血管造影机（DSA）正常透视情况下监测。</w:t>
                  </w:r>
                </w:p>
              </w:tc>
            </w:tr>
          </w:tbl>
          <w:p>
            <w:pPr>
              <w:adjustRightInd w:val="0"/>
              <w:spacing w:line="360" w:lineRule="auto"/>
              <w:ind w:firstLine="482" w:firstLineChars="200"/>
              <w:rPr>
                <w:rFonts w:eastAsia="黑体"/>
                <w:b/>
                <w:bCs/>
                <w:color w:val="000000"/>
                <w:kern w:val="24"/>
                <w:szCs w:val="20"/>
              </w:rPr>
            </w:pPr>
            <w:r>
              <w:rPr>
                <w:b/>
                <w:bCs/>
                <w:color w:val="000000"/>
                <w:kern w:val="24"/>
                <w:szCs w:val="20"/>
              </w:rPr>
              <w:t xml:space="preserve">12.3.3 </w:t>
            </w:r>
            <w:r>
              <w:rPr>
                <w:rFonts w:ascii="宋体" w:hAnsi="宋体"/>
                <w:b/>
                <w:bCs/>
                <w:color w:val="000000"/>
                <w:kern w:val="24"/>
                <w:szCs w:val="20"/>
              </w:rPr>
              <w:t>个人剂量监测</w:t>
            </w:r>
          </w:p>
          <w:p>
            <w:pPr>
              <w:adjustRightInd w:val="0"/>
              <w:spacing w:line="360" w:lineRule="auto"/>
              <w:ind w:firstLine="480" w:firstLineChars="200"/>
              <w:rPr>
                <w:color w:val="000000"/>
                <w:kern w:val="24"/>
                <w:szCs w:val="20"/>
              </w:rPr>
            </w:pPr>
            <w:r>
              <w:rPr>
                <w:rFonts w:hint="eastAsia"/>
                <w:color w:val="000000"/>
                <w:kern w:val="24"/>
                <w:szCs w:val="20"/>
              </w:rPr>
              <w:t>应正确佩戴个人剂量计，并建立个人剂量档案；本项目介入人员（医生、护士）建议采用双剂量计监测方法（在铅围裙内外各佩戴一个剂量计）。通用环球中铁西安医院</w:t>
            </w:r>
            <w:r>
              <w:rPr>
                <w:color w:val="000000"/>
                <w:kern w:val="24"/>
                <w:szCs w:val="20"/>
              </w:rPr>
              <w:t>已为辐射工作人员配备个人剂量计，辐射工作人员按照相关要求进行佩戴，个人剂量计每3个月送有资质单位检测1次个人外照射累计剂量，并建立起个人剂量档案，个人剂量档案终生保存。</w:t>
            </w:r>
          </w:p>
          <w:p>
            <w:pPr>
              <w:adjustRightInd w:val="0"/>
              <w:spacing w:line="360" w:lineRule="auto"/>
              <w:ind w:firstLine="482" w:firstLineChars="200"/>
              <w:rPr>
                <w:rFonts w:eastAsia="黑体"/>
                <w:b/>
                <w:bCs/>
                <w:color w:val="000000"/>
                <w:kern w:val="24"/>
                <w:szCs w:val="20"/>
              </w:rPr>
            </w:pPr>
            <w:r>
              <w:rPr>
                <w:b/>
                <w:bCs/>
                <w:color w:val="000000"/>
                <w:kern w:val="24"/>
                <w:szCs w:val="20"/>
              </w:rPr>
              <w:t xml:space="preserve">12.3.4 </w:t>
            </w:r>
            <w:r>
              <w:rPr>
                <w:rFonts w:ascii="宋体" w:hAnsi="宋体"/>
                <w:b/>
                <w:bCs/>
                <w:color w:val="000000"/>
                <w:kern w:val="24"/>
                <w:szCs w:val="20"/>
              </w:rPr>
              <w:t>职业健康检查</w:t>
            </w:r>
          </w:p>
          <w:p>
            <w:pPr>
              <w:adjustRightInd w:val="0"/>
              <w:spacing w:line="360" w:lineRule="auto"/>
              <w:ind w:firstLine="480" w:firstLineChars="200"/>
              <w:rPr>
                <w:color w:val="000000"/>
                <w:kern w:val="24"/>
                <w:szCs w:val="20"/>
              </w:rPr>
            </w:pPr>
            <w:r>
              <w:rPr>
                <w:rFonts w:hint="eastAsia"/>
                <w:color w:val="000000"/>
                <w:kern w:val="24"/>
                <w:szCs w:val="20"/>
              </w:rPr>
              <w:t>通用环球中铁西安医院</w:t>
            </w:r>
            <w:r>
              <w:rPr>
                <w:color w:val="000000"/>
                <w:kern w:val="24"/>
                <w:szCs w:val="20"/>
              </w:rPr>
              <w:t>已为辐射工作人员安排岗前、在岗、离岗放射性职业健康检查，在岗检查至少每2年进行一次，</w:t>
            </w:r>
            <w:r>
              <w:rPr>
                <w:rFonts w:hint="eastAsia"/>
                <w:color w:val="000000"/>
                <w:kern w:val="24"/>
                <w:szCs w:val="20"/>
              </w:rPr>
              <w:t>发现异常时及时进行复查，确保放射工作人员可继续从事放射工作，</w:t>
            </w:r>
            <w:r>
              <w:rPr>
                <w:color w:val="000000"/>
                <w:kern w:val="24"/>
                <w:szCs w:val="20"/>
              </w:rPr>
              <w:t>并建立起职业健康监护档案。</w:t>
            </w:r>
          </w:p>
          <w:p>
            <w:pPr>
              <w:pStyle w:val="2"/>
              <w:ind w:firstLine="480"/>
              <w:rPr>
                <w:rFonts w:eastAsia="等线"/>
              </w:rPr>
            </w:pPr>
            <w:r>
              <w:rPr>
                <w:rFonts w:eastAsia="宋体"/>
                <w:color w:val="000000"/>
                <w:kern w:val="24"/>
                <w:szCs w:val="20"/>
              </w:rPr>
              <w:t>根据国家以及陕西省地方法律法规要求，医院每年应对放射性工作场所以及周边环境进行安全和防护状况评估，需要将日常监测、年度监测、个人剂量监测、职业健康检查等内容纳入该年度评估报告，对医院存在的安全隐患及时提出整改方案，安全评估报告应于每年1月31日前报辐射安全许可证发证机关</w:t>
            </w:r>
            <w:r>
              <w:rPr>
                <w:rFonts w:hint="eastAsia" w:eastAsia="宋体"/>
                <w:color w:val="000000"/>
                <w:kern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752" w:type="dxa"/>
          </w:tcPr>
          <w:p>
            <w:pPr>
              <w:spacing w:line="360" w:lineRule="auto"/>
              <w:rPr>
                <w:b/>
                <w:bCs/>
                <w:color w:val="000000"/>
                <w:sz w:val="28"/>
                <w:szCs w:val="28"/>
              </w:rPr>
            </w:pPr>
            <w:r>
              <w:rPr>
                <w:b/>
                <w:bCs/>
                <w:color w:val="000000"/>
                <w:sz w:val="28"/>
                <w:szCs w:val="28"/>
              </w:rPr>
              <w:t>12.4 辐射应急事故</w:t>
            </w:r>
          </w:p>
          <w:p>
            <w:pPr>
              <w:spacing w:line="360" w:lineRule="auto"/>
              <w:ind w:firstLine="480" w:firstLineChars="200"/>
              <w:rPr>
                <w:color w:val="000000"/>
              </w:rPr>
            </w:pPr>
            <w:r>
              <w:rPr>
                <w:color w:val="000000"/>
              </w:rPr>
              <w:t>为有效防护、及时控制辐射事故所致的伤害，加强射线装置安全监测和控制等管理工作，保障相关工作人员以及射线装置周围人员的健康安全，避免环境辐射污</w:t>
            </w:r>
            <w:r>
              <w:t>染，根据《放射性同位素与射线装置安全和防护条例》（国务院令第449号）、《陕西省放射性污染防治条例》和其他有关法律法规、</w:t>
            </w:r>
            <w:r>
              <w:rPr>
                <w:rFonts w:hint="eastAsia"/>
              </w:rPr>
              <w:t>职能</w:t>
            </w:r>
            <w:r>
              <w:t>管理部门要求，医院</w:t>
            </w:r>
            <w:r>
              <w:rPr>
                <w:rFonts w:hint="eastAsia"/>
              </w:rPr>
              <w:t>已</w:t>
            </w:r>
            <w:r>
              <w:t>制定《辐射事故应急预案》。根据《陕西省环境保护厅办公室关于印发新修订的&lt;陕西省核技术利用单位辐射安全管理标准化建设工作项目表&gt;</w:t>
            </w:r>
            <w:r>
              <w:rPr>
                <w:color w:val="000000"/>
              </w:rPr>
              <w:t>的通知》要求，医院制定的应急预案中应包括下列内容：</w:t>
            </w:r>
          </w:p>
          <w:p>
            <w:pPr>
              <w:spacing w:line="360" w:lineRule="auto"/>
              <w:ind w:firstLine="480" w:firstLineChars="200"/>
              <w:rPr>
                <w:color w:val="000000"/>
              </w:rPr>
            </w:pPr>
            <w:r>
              <w:rPr>
                <w:color w:val="000000"/>
              </w:rPr>
              <w:t>（1）可能发生的辐射事故及危害程度分析；</w:t>
            </w:r>
          </w:p>
          <w:p>
            <w:pPr>
              <w:spacing w:line="360" w:lineRule="auto"/>
              <w:ind w:firstLine="480" w:firstLineChars="200"/>
              <w:rPr>
                <w:color w:val="000000"/>
              </w:rPr>
            </w:pPr>
            <w:r>
              <w:rPr>
                <w:color w:val="000000"/>
              </w:rPr>
              <w:t>（2）应急组织指挥体系和职责分工；</w:t>
            </w:r>
          </w:p>
          <w:p>
            <w:pPr>
              <w:spacing w:line="360" w:lineRule="auto"/>
              <w:ind w:firstLine="480" w:firstLineChars="200"/>
              <w:rPr>
                <w:color w:val="000000"/>
              </w:rPr>
            </w:pPr>
            <w:r>
              <w:rPr>
                <w:color w:val="000000"/>
              </w:rPr>
              <w:t>（3）应急人员培训和应急物资准备；</w:t>
            </w:r>
          </w:p>
          <w:p>
            <w:pPr>
              <w:spacing w:line="360" w:lineRule="auto"/>
              <w:ind w:firstLine="480" w:firstLineChars="200"/>
              <w:rPr>
                <w:color w:val="000000"/>
              </w:rPr>
            </w:pPr>
            <w:r>
              <w:rPr>
                <w:color w:val="000000"/>
              </w:rPr>
              <w:t>（4）辐射事故应急响应措施；</w:t>
            </w:r>
          </w:p>
          <w:p>
            <w:pPr>
              <w:spacing w:line="360" w:lineRule="auto"/>
              <w:ind w:firstLine="480" w:firstLineChars="200"/>
              <w:rPr>
                <w:color w:val="000000"/>
              </w:rPr>
            </w:pPr>
            <w:r>
              <w:rPr>
                <w:color w:val="000000"/>
              </w:rPr>
              <w:t>（5）辐射事故报告和处理程序。</w:t>
            </w:r>
          </w:p>
          <w:p>
            <w:pPr>
              <w:spacing w:line="360" w:lineRule="auto"/>
              <w:ind w:firstLine="480" w:firstLineChars="200"/>
              <w:rPr>
                <w:color w:val="000000"/>
              </w:rPr>
            </w:pPr>
            <w:r>
              <w:rPr>
                <w:color w:val="000000"/>
              </w:rPr>
              <w:t>依照《关于建立放射性同位素与射线装置辐射事故分级处理和报告制度的通知》（环发〔2006〕145号）有关要求，针对可能发生的风险事故，医院应根据辐射事故的性质、严重程度、可控性和影响范围，执行辐射事故应急预案。</w:t>
            </w:r>
          </w:p>
          <w:p>
            <w:pPr>
              <w:widowControl/>
              <w:snapToGrid w:val="0"/>
              <w:spacing w:line="360" w:lineRule="auto"/>
              <w:ind w:firstLine="480" w:firstLineChars="200"/>
              <w:rPr>
                <w:color w:val="000000"/>
              </w:rPr>
            </w:pPr>
            <w:bookmarkStart w:id="35" w:name="_Hlk117518239"/>
            <w:r>
              <w:rPr>
                <w:color w:val="000000"/>
              </w:rPr>
              <w:t>医院已制定《</w:t>
            </w:r>
            <w:r>
              <w:rPr>
                <w:rFonts w:hint="eastAsia"/>
                <w:color w:val="000000"/>
              </w:rPr>
              <w:t>通用环球中铁西安医院辐射事故（持续照射）应急处理预案</w:t>
            </w:r>
            <w:r>
              <w:rPr>
                <w:color w:val="000000"/>
              </w:rPr>
              <w:t>》</w:t>
            </w:r>
            <w:r>
              <w:rPr>
                <w:rFonts w:hint="eastAsia"/>
                <w:color w:val="000000"/>
              </w:rPr>
              <w:t>。预案目的为应对可能发生的放射线辐射造成的人员伤害，确保有序地开展事故救援工作，最大限度减少或消除事故和紧急情况造成的影响，避免事故蔓延和扩大，维护正常的医疗秩序；日常工作中，加强对医院辐射事故应急小组成员的培训，提高领导小组成员应对辐射突发公共事件的知识和能力</w:t>
            </w:r>
            <w:r>
              <w:rPr>
                <w:rFonts w:hint="eastAsia"/>
                <w:color w:val="000000" w:themeColor="text1"/>
                <w14:textFill>
                  <w14:solidFill>
                    <w14:schemeClr w14:val="tx1"/>
                  </w14:solidFill>
                </w14:textFill>
              </w:rPr>
              <w:t>。针对辐射工作人员，加强教育，严格按照规程操作，提高核安全文化素养。一旦发生</w:t>
            </w:r>
            <w:r>
              <w:rPr>
                <w:rFonts w:hint="eastAsia"/>
                <w:color w:val="000000"/>
              </w:rPr>
              <w:t>辐射事故，现场当事人</w:t>
            </w:r>
            <w:r>
              <w:rPr>
                <w:color w:val="000000"/>
              </w:rPr>
              <w:t>应立即启动应急预案，采取必要的防范措施，并在2小时内填写《辐射事故初始报告表》，由辐射事故应急小组上报当地生态环境主管部门，同时上报公安部门；造成或可能造成人员超剂量照射的，还应向当地卫生行政部门报告。及时组织专业技术人员排除事故，配合各相关部门做好辐射事故调查工作。</w:t>
            </w:r>
          </w:p>
          <w:bookmarkEnd w:id="35"/>
          <w:p>
            <w:pPr>
              <w:spacing w:line="360" w:lineRule="auto"/>
              <w:ind w:firstLine="480" w:firstLineChars="200"/>
            </w:pPr>
            <w:r>
              <w:t>医院应根据《陕西省放射性污染防治条例》、《陕西省环境保护厅办公室关于印发新修订的&lt;陕西省核技术利用单位辐射安全管理标准化建设工作项目表&gt;的通知》（陕环办发〔2018〕29号）要求，完善并细化《</w:t>
            </w:r>
            <w:r>
              <w:rPr>
                <w:rFonts w:hint="eastAsia"/>
                <w:color w:val="000000"/>
              </w:rPr>
              <w:t>通用环球中铁西安医院辐射事故（持续照射）应急处理预案</w:t>
            </w:r>
            <w:r>
              <w:t>》中各项流程，本项目可能发生的辐射事故应纳入应急预案处理程序。</w:t>
            </w:r>
          </w:p>
          <w:p>
            <w:pPr>
              <w:spacing w:line="360" w:lineRule="auto"/>
              <w:ind w:firstLine="480" w:firstLineChars="200"/>
            </w:pPr>
            <w:r>
              <w:rPr>
                <w:rFonts w:hint="eastAsia"/>
                <w:color w:val="000000"/>
              </w:rPr>
              <w:t>一旦发生辐射事故，现场当事人应立即</w:t>
            </w:r>
            <w:r>
              <w:rPr>
                <w:rFonts w:hint="eastAsia"/>
                <w:color w:val="000000" w:themeColor="text1"/>
                <w14:textFill>
                  <w14:solidFill>
                    <w14:schemeClr w14:val="tx1"/>
                  </w14:solidFill>
                </w14:textFill>
              </w:rPr>
              <w:t>切断数字减影血管造影机（DSA）电源，并报告医院启动应急预案，采取必要的防范措</w:t>
            </w:r>
            <w:r>
              <w:rPr>
                <w:rFonts w:hint="eastAsia"/>
                <w:color w:val="000000"/>
              </w:rPr>
              <w:t>施，并在2小时内填写《辐射事故初始报告表》</w:t>
            </w:r>
            <w:r>
              <w:rPr>
                <w:color w:val="000000"/>
              </w:rPr>
              <w:t>，</w:t>
            </w:r>
            <w:r>
              <w:t>由医院辐射事故应急小组上报当地生态环境主管部门及省级生态环境主管部门，同时上报公安部门，造成或可能造成人员超剂量照射的，还应同时向当地卫生行政部门报告。并及时组织专业技术人员排除事故。配合各相关部门做好辐射事故调查工作。</w:t>
            </w:r>
          </w:p>
          <w:p>
            <w:pPr>
              <w:adjustRightInd w:val="0"/>
              <w:snapToGrid w:val="0"/>
              <w:spacing w:line="360" w:lineRule="auto"/>
              <w:ind w:firstLine="504" w:firstLineChars="210"/>
              <w:rPr>
                <w:color w:val="000000"/>
                <w:kern w:val="0"/>
              </w:rPr>
            </w:pPr>
            <w:r>
              <w:rPr>
                <w:rFonts w:hint="eastAsia" w:ascii="宋体" w:hAnsi="宋体" w:cs="宋体"/>
              </w:rPr>
              <w:t>环评要求：通用环球中铁西安医院应结合本项目</w:t>
            </w:r>
            <w:r>
              <w:rPr>
                <w:rFonts w:hint="eastAsia" w:eastAsia="Arial"/>
              </w:rPr>
              <w:t>DSA</w:t>
            </w:r>
            <w:r>
              <w:rPr>
                <w:rFonts w:hint="eastAsia" w:ascii="宋体" w:hAnsi="宋体" w:cs="宋体"/>
              </w:rPr>
              <w:t>装置以及医院现有射线装置使用情况，依据国家相关法律法规、标准，进一步细化辐射事故应急领导小组以及相关成员职责，不断对应急预案进行补充修改、完善，使应急预案更具有操作性、可行性。定期对应急预案进行演练，提高事故应急处置能力。发生辐射事故时，立即启动应急预案，采取应急措施，并立即向当地生态环境主管部门和卫生主管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752" w:type="dxa"/>
          </w:tcPr>
          <w:p>
            <w:pPr>
              <w:spacing w:line="360" w:lineRule="auto"/>
              <w:rPr>
                <w:b/>
                <w:bCs/>
                <w:color w:val="000000"/>
                <w:sz w:val="28"/>
                <w:szCs w:val="28"/>
              </w:rPr>
            </w:pPr>
            <w:r>
              <w:rPr>
                <w:b/>
                <w:bCs/>
                <w:color w:val="000000"/>
                <w:sz w:val="28"/>
                <w:szCs w:val="28"/>
              </w:rPr>
              <w:t>12.5 环境保护投资与“三同时”环保验收一览表</w:t>
            </w:r>
          </w:p>
          <w:p>
            <w:pPr>
              <w:spacing w:line="360" w:lineRule="auto"/>
              <w:ind w:firstLine="482" w:firstLineChars="200"/>
              <w:rPr>
                <w:b/>
                <w:bCs/>
                <w:color w:val="000000"/>
              </w:rPr>
            </w:pPr>
            <w:r>
              <w:rPr>
                <w:b/>
                <w:bCs/>
                <w:color w:val="000000"/>
              </w:rPr>
              <w:t>12.5.1 环保投资</w:t>
            </w:r>
          </w:p>
          <w:p>
            <w:pPr>
              <w:spacing w:line="360" w:lineRule="auto"/>
              <w:ind w:firstLine="480" w:firstLineChars="200"/>
              <w:rPr>
                <w:rFonts w:eastAsia="黑体"/>
                <w:color w:val="000000"/>
              </w:rPr>
            </w:pPr>
            <w:r>
              <w:rPr>
                <w:rFonts w:hint="eastAsia"/>
                <w:color w:val="000000"/>
              </w:rPr>
              <w:t>通用环球中铁西安医院数字减影血管造影机</w:t>
            </w:r>
            <w:r>
              <w:rPr>
                <w:color w:val="000000"/>
              </w:rPr>
              <w:t>核技术利用项目总投资</w:t>
            </w:r>
            <w:r>
              <w:t>1000</w:t>
            </w:r>
            <w:r>
              <w:rPr>
                <w:color w:val="000000"/>
              </w:rPr>
              <w:t>万元，环保投资</w:t>
            </w:r>
            <w:r>
              <w:rPr>
                <w:rFonts w:hint="eastAsia"/>
                <w:color w:val="000000"/>
              </w:rPr>
              <w:t>2</w:t>
            </w:r>
            <w:r>
              <w:rPr>
                <w:color w:val="000000"/>
              </w:rPr>
              <w:t>9万元，为项目投资额的</w:t>
            </w:r>
            <w:r>
              <w:t>2.9%</w:t>
            </w:r>
            <w:r>
              <w:rPr>
                <w:color w:val="000000"/>
              </w:rPr>
              <w:t>，环保投资比例适宜。环保投资主要为辐射安全设施购置费用、个人防护用品的购置费用、辐射环境监测费用、个人剂量计的购置及检测费用、职业病健康检查费用等。</w:t>
            </w:r>
            <w:r>
              <w:rPr>
                <w:rFonts w:hint="eastAsia"/>
                <w:color w:val="000000"/>
              </w:rPr>
              <w:t>本项目环保投资一览表见表12-</w:t>
            </w:r>
            <w:r>
              <w:rPr>
                <w:color w:val="000000"/>
              </w:rPr>
              <w:t>3</w:t>
            </w:r>
            <w:r>
              <w:rPr>
                <w:rFonts w:hint="eastAsia"/>
                <w:color w:val="000000"/>
              </w:rPr>
              <w:t>。</w:t>
            </w:r>
          </w:p>
          <w:p>
            <w:pPr>
              <w:spacing w:line="360" w:lineRule="auto"/>
              <w:jc w:val="center"/>
              <w:rPr>
                <w:rFonts w:eastAsia="黑体"/>
                <w:b/>
                <w:bCs/>
                <w:sz w:val="22"/>
                <w:szCs w:val="22"/>
              </w:rPr>
            </w:pPr>
          </w:p>
          <w:p>
            <w:pPr>
              <w:pStyle w:val="2"/>
              <w:ind w:firstLine="0" w:firstLineChars="0"/>
              <w:rPr>
                <w:rFonts w:eastAsiaTheme="minorEastAsia"/>
              </w:rPr>
            </w:pPr>
          </w:p>
          <w:p>
            <w:pPr>
              <w:spacing w:line="360" w:lineRule="auto"/>
              <w:jc w:val="center"/>
              <w:rPr>
                <w:rFonts w:eastAsia="黑体"/>
                <w:b/>
                <w:bCs/>
                <w:sz w:val="22"/>
                <w:szCs w:val="22"/>
              </w:rPr>
            </w:pPr>
            <w:r>
              <w:rPr>
                <w:rFonts w:eastAsia="黑体"/>
                <w:b/>
                <w:bCs/>
                <w:sz w:val="22"/>
                <w:szCs w:val="22"/>
              </w:rPr>
              <w:t>表12-3  项目环保投资一览表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1009"/>
              <w:gridCol w:w="2254"/>
              <w:gridCol w:w="3274"/>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93" w:type="pct"/>
                  <w:tcBorders>
                    <w:top w:val="single" w:color="auto" w:sz="12" w:space="0"/>
                    <w:left w:val="nil"/>
                    <w:bottom w:val="single" w:color="auto" w:sz="12" w:space="0"/>
                  </w:tcBorders>
                  <w:vAlign w:val="center"/>
                </w:tcPr>
                <w:p>
                  <w:pPr>
                    <w:pStyle w:val="55"/>
                    <w:adjustRightInd w:val="0"/>
                    <w:snapToGrid w:val="0"/>
                    <w:rPr>
                      <w:bCs/>
                      <w:color w:val="000000"/>
                      <w:sz w:val="20"/>
                      <w:szCs w:val="18"/>
                    </w:rPr>
                  </w:pPr>
                  <w:r>
                    <w:rPr>
                      <w:bCs/>
                      <w:color w:val="000000"/>
                      <w:sz w:val="20"/>
                      <w:szCs w:val="18"/>
                    </w:rPr>
                    <w:t>实施时段</w:t>
                  </w:r>
                </w:p>
              </w:tc>
              <w:tc>
                <w:tcPr>
                  <w:tcW w:w="592" w:type="pct"/>
                  <w:tcBorders>
                    <w:top w:val="single" w:color="auto" w:sz="12" w:space="0"/>
                    <w:bottom w:val="single" w:color="auto" w:sz="12" w:space="0"/>
                  </w:tcBorders>
                  <w:vAlign w:val="center"/>
                </w:tcPr>
                <w:p>
                  <w:pPr>
                    <w:pStyle w:val="55"/>
                    <w:adjustRightInd w:val="0"/>
                    <w:snapToGrid w:val="0"/>
                    <w:rPr>
                      <w:bCs/>
                      <w:color w:val="000000"/>
                      <w:sz w:val="20"/>
                      <w:szCs w:val="18"/>
                    </w:rPr>
                  </w:pPr>
                  <w:r>
                    <w:rPr>
                      <w:bCs/>
                      <w:color w:val="000000"/>
                      <w:sz w:val="20"/>
                      <w:szCs w:val="18"/>
                    </w:rPr>
                    <w:t>类别</w:t>
                  </w:r>
                </w:p>
              </w:tc>
              <w:tc>
                <w:tcPr>
                  <w:tcW w:w="1322" w:type="pct"/>
                  <w:tcBorders>
                    <w:top w:val="single" w:color="auto" w:sz="12" w:space="0"/>
                    <w:bottom w:val="single" w:color="auto" w:sz="12" w:space="0"/>
                  </w:tcBorders>
                  <w:vAlign w:val="center"/>
                </w:tcPr>
                <w:p>
                  <w:pPr>
                    <w:pStyle w:val="55"/>
                    <w:adjustRightInd w:val="0"/>
                    <w:snapToGrid w:val="0"/>
                    <w:rPr>
                      <w:bCs/>
                      <w:color w:val="000000"/>
                      <w:sz w:val="20"/>
                      <w:szCs w:val="18"/>
                    </w:rPr>
                  </w:pPr>
                  <w:r>
                    <w:rPr>
                      <w:bCs/>
                      <w:color w:val="000000"/>
                      <w:sz w:val="20"/>
                      <w:szCs w:val="18"/>
                    </w:rPr>
                    <w:t>污染源或污染物</w:t>
                  </w:r>
                </w:p>
              </w:tc>
              <w:tc>
                <w:tcPr>
                  <w:tcW w:w="1920" w:type="pct"/>
                  <w:tcBorders>
                    <w:top w:val="single" w:color="auto" w:sz="12" w:space="0"/>
                    <w:bottom w:val="single" w:color="auto" w:sz="12" w:space="0"/>
                  </w:tcBorders>
                  <w:vAlign w:val="center"/>
                </w:tcPr>
                <w:p>
                  <w:pPr>
                    <w:pStyle w:val="55"/>
                    <w:adjustRightInd w:val="0"/>
                    <w:snapToGrid w:val="0"/>
                    <w:rPr>
                      <w:bCs/>
                      <w:color w:val="000000"/>
                      <w:sz w:val="20"/>
                      <w:szCs w:val="18"/>
                    </w:rPr>
                  </w:pPr>
                  <w:r>
                    <w:rPr>
                      <w:bCs/>
                      <w:color w:val="000000"/>
                      <w:sz w:val="20"/>
                      <w:szCs w:val="18"/>
                    </w:rPr>
                    <w:t>污染防治措施或设施</w:t>
                  </w:r>
                </w:p>
              </w:tc>
              <w:tc>
                <w:tcPr>
                  <w:tcW w:w="573" w:type="pct"/>
                  <w:tcBorders>
                    <w:top w:val="single" w:color="auto" w:sz="12" w:space="0"/>
                    <w:bottom w:val="single" w:color="auto" w:sz="12" w:space="0"/>
                    <w:right w:val="nil"/>
                  </w:tcBorders>
                  <w:vAlign w:val="center"/>
                </w:tcPr>
                <w:p>
                  <w:pPr>
                    <w:pStyle w:val="55"/>
                    <w:adjustRightInd w:val="0"/>
                    <w:snapToGrid w:val="0"/>
                    <w:rPr>
                      <w:bCs/>
                      <w:color w:val="000000"/>
                      <w:sz w:val="20"/>
                      <w:szCs w:val="18"/>
                    </w:rPr>
                  </w:pPr>
                  <w:r>
                    <w:rPr>
                      <w:bCs/>
                      <w:color w:val="000000"/>
                      <w:sz w:val="20"/>
                      <w:szCs w:val="18"/>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93" w:type="pct"/>
                  <w:tcBorders>
                    <w:top w:val="single" w:color="auto" w:sz="12" w:space="0"/>
                    <w:left w:val="nil"/>
                    <w:bottom w:val="single" w:color="auto" w:sz="4" w:space="0"/>
                  </w:tcBorders>
                  <w:vAlign w:val="center"/>
                </w:tcPr>
                <w:p>
                  <w:pPr>
                    <w:pStyle w:val="55"/>
                    <w:adjustRightInd w:val="0"/>
                    <w:snapToGrid w:val="0"/>
                    <w:spacing w:line="240" w:lineRule="exact"/>
                    <w:rPr>
                      <w:bCs/>
                      <w:color w:val="000000"/>
                      <w:sz w:val="20"/>
                      <w:szCs w:val="18"/>
                    </w:rPr>
                  </w:pPr>
                  <w:r>
                    <w:rPr>
                      <w:bCs/>
                      <w:color w:val="000000"/>
                      <w:sz w:val="20"/>
                      <w:szCs w:val="18"/>
                    </w:rPr>
                    <w:t>项目准备阶段</w:t>
                  </w:r>
                </w:p>
              </w:tc>
              <w:tc>
                <w:tcPr>
                  <w:tcW w:w="592" w:type="pct"/>
                  <w:tcBorders>
                    <w:top w:val="single" w:color="auto" w:sz="12" w:space="0"/>
                    <w:bottom w:val="single" w:color="auto" w:sz="4" w:space="0"/>
                  </w:tcBorders>
                  <w:vAlign w:val="center"/>
                </w:tcPr>
                <w:p>
                  <w:pPr>
                    <w:pStyle w:val="55"/>
                    <w:adjustRightInd w:val="0"/>
                    <w:snapToGrid w:val="0"/>
                    <w:spacing w:line="240" w:lineRule="exact"/>
                    <w:rPr>
                      <w:bCs/>
                      <w:color w:val="000000"/>
                      <w:sz w:val="20"/>
                      <w:szCs w:val="18"/>
                    </w:rPr>
                  </w:pPr>
                  <w:r>
                    <w:rPr>
                      <w:bCs/>
                      <w:color w:val="000000"/>
                      <w:sz w:val="20"/>
                      <w:szCs w:val="18"/>
                    </w:rPr>
                    <w:t>环境</w:t>
                  </w:r>
                </w:p>
                <w:p>
                  <w:pPr>
                    <w:pStyle w:val="55"/>
                    <w:adjustRightInd w:val="0"/>
                    <w:snapToGrid w:val="0"/>
                    <w:spacing w:line="240" w:lineRule="exact"/>
                    <w:rPr>
                      <w:bCs/>
                      <w:color w:val="000000"/>
                      <w:sz w:val="20"/>
                      <w:szCs w:val="18"/>
                    </w:rPr>
                  </w:pPr>
                  <w:r>
                    <w:rPr>
                      <w:bCs/>
                      <w:color w:val="000000"/>
                      <w:sz w:val="20"/>
                      <w:szCs w:val="18"/>
                    </w:rPr>
                    <w:t>咨询</w:t>
                  </w:r>
                </w:p>
              </w:tc>
              <w:tc>
                <w:tcPr>
                  <w:tcW w:w="1322" w:type="pct"/>
                  <w:tcBorders>
                    <w:top w:val="single" w:color="auto" w:sz="12" w:space="0"/>
                    <w:bottom w:val="single" w:color="auto" w:sz="4" w:space="0"/>
                  </w:tcBorders>
                  <w:vAlign w:val="center"/>
                </w:tcPr>
                <w:p>
                  <w:pPr>
                    <w:pStyle w:val="55"/>
                    <w:adjustRightInd w:val="0"/>
                    <w:snapToGrid w:val="0"/>
                    <w:spacing w:line="240" w:lineRule="exact"/>
                    <w:rPr>
                      <w:bCs/>
                      <w:color w:val="000000"/>
                      <w:sz w:val="20"/>
                      <w:szCs w:val="18"/>
                    </w:rPr>
                  </w:pPr>
                  <w:r>
                    <w:rPr>
                      <w:bCs/>
                      <w:color w:val="000000"/>
                      <w:sz w:val="20"/>
                      <w:szCs w:val="18"/>
                    </w:rPr>
                    <w:t>—</w:t>
                  </w:r>
                </w:p>
              </w:tc>
              <w:tc>
                <w:tcPr>
                  <w:tcW w:w="1920" w:type="pct"/>
                  <w:tcBorders>
                    <w:top w:val="single" w:color="auto" w:sz="12" w:space="0"/>
                    <w:bottom w:val="single" w:color="auto" w:sz="4" w:space="0"/>
                  </w:tcBorders>
                  <w:vAlign w:val="center"/>
                </w:tcPr>
                <w:p>
                  <w:pPr>
                    <w:pStyle w:val="55"/>
                    <w:adjustRightInd w:val="0"/>
                    <w:snapToGrid w:val="0"/>
                    <w:spacing w:line="240" w:lineRule="exact"/>
                    <w:rPr>
                      <w:bCs/>
                      <w:color w:val="000000"/>
                      <w:sz w:val="20"/>
                      <w:szCs w:val="18"/>
                    </w:rPr>
                  </w:pPr>
                  <w:r>
                    <w:rPr>
                      <w:bCs/>
                      <w:color w:val="000000"/>
                      <w:sz w:val="20"/>
                      <w:szCs w:val="18"/>
                    </w:rPr>
                    <w:t>—</w:t>
                  </w:r>
                </w:p>
              </w:tc>
              <w:tc>
                <w:tcPr>
                  <w:tcW w:w="573" w:type="pct"/>
                  <w:tcBorders>
                    <w:top w:val="single" w:color="auto" w:sz="12" w:space="0"/>
                    <w:bottom w:val="single" w:color="auto" w:sz="4" w:space="0"/>
                    <w:right w:val="nil"/>
                  </w:tcBorders>
                  <w:vAlign w:val="center"/>
                </w:tcPr>
                <w:p>
                  <w:pPr>
                    <w:pStyle w:val="55"/>
                    <w:adjustRightInd w:val="0"/>
                    <w:snapToGrid w:val="0"/>
                    <w:rPr>
                      <w:bCs/>
                      <w:color w:val="000000"/>
                      <w:sz w:val="20"/>
                      <w:szCs w:val="18"/>
                    </w:rPr>
                  </w:pPr>
                  <w:r>
                    <w:rPr>
                      <w:bCs/>
                      <w:color w:val="000000" w:themeColor="text1"/>
                      <w:sz w:val="20"/>
                      <w:szCs w:val="1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93" w:type="pct"/>
                  <w:vMerge w:val="restart"/>
                  <w:tcBorders>
                    <w:left w:val="nil"/>
                  </w:tcBorders>
                  <w:vAlign w:val="center"/>
                </w:tcPr>
                <w:p>
                  <w:pPr>
                    <w:pStyle w:val="55"/>
                    <w:adjustRightInd w:val="0"/>
                    <w:snapToGrid w:val="0"/>
                    <w:spacing w:line="240" w:lineRule="exact"/>
                    <w:rPr>
                      <w:bCs/>
                      <w:color w:val="000000" w:themeColor="text1"/>
                      <w:sz w:val="20"/>
                      <w:szCs w:val="18"/>
                      <w14:textFill>
                        <w14:solidFill>
                          <w14:schemeClr w14:val="tx1"/>
                        </w14:solidFill>
                      </w14:textFill>
                    </w:rPr>
                  </w:pPr>
                  <w:r>
                    <w:rPr>
                      <w:bCs/>
                      <w:color w:val="000000"/>
                      <w:sz w:val="20"/>
                      <w:szCs w:val="18"/>
                    </w:rPr>
                    <w:t>施工期</w:t>
                  </w:r>
                </w:p>
              </w:tc>
              <w:tc>
                <w:tcPr>
                  <w:tcW w:w="592" w:type="pct"/>
                  <w:tcBorders>
                    <w:bottom w:val="single" w:color="auto" w:sz="4" w:space="0"/>
                  </w:tcBorders>
                  <w:vAlign w:val="center"/>
                </w:tcPr>
                <w:p>
                  <w:pPr>
                    <w:pStyle w:val="55"/>
                    <w:adjustRightInd w:val="0"/>
                    <w:snapToGrid w:val="0"/>
                    <w:spacing w:line="240" w:lineRule="exact"/>
                    <w:rPr>
                      <w:bCs/>
                      <w:color w:val="000000" w:themeColor="text1"/>
                      <w:sz w:val="20"/>
                      <w:szCs w:val="18"/>
                      <w14:textFill>
                        <w14:solidFill>
                          <w14:schemeClr w14:val="tx1"/>
                        </w14:solidFill>
                      </w14:textFill>
                    </w:rPr>
                  </w:pPr>
                  <w:r>
                    <w:rPr>
                      <w:bCs/>
                      <w:color w:val="000000" w:themeColor="text1"/>
                      <w:sz w:val="20"/>
                      <w:szCs w:val="18"/>
                      <w14:textFill>
                        <w14:solidFill>
                          <w14:schemeClr w14:val="tx1"/>
                        </w14:solidFill>
                      </w14:textFill>
                    </w:rPr>
                    <w:t>废气</w:t>
                  </w:r>
                </w:p>
              </w:tc>
              <w:tc>
                <w:tcPr>
                  <w:tcW w:w="1322" w:type="pct"/>
                  <w:tcBorders>
                    <w:bottom w:val="single" w:color="auto" w:sz="4" w:space="0"/>
                  </w:tcBorders>
                  <w:vAlign w:val="center"/>
                </w:tcPr>
                <w:p>
                  <w:pPr>
                    <w:pStyle w:val="55"/>
                    <w:adjustRightInd w:val="0"/>
                    <w:snapToGrid w:val="0"/>
                    <w:spacing w:line="240" w:lineRule="exact"/>
                    <w:rPr>
                      <w:bCs/>
                      <w:color w:val="000000" w:themeColor="text1"/>
                      <w:sz w:val="20"/>
                      <w:szCs w:val="18"/>
                      <w14:textFill>
                        <w14:solidFill>
                          <w14:schemeClr w14:val="tx1"/>
                        </w14:solidFill>
                      </w14:textFill>
                    </w:rPr>
                  </w:pPr>
                  <w:r>
                    <w:rPr>
                      <w:bCs/>
                      <w:color w:val="000000" w:themeColor="text1"/>
                      <w:sz w:val="20"/>
                      <w:szCs w:val="18"/>
                      <w14:textFill>
                        <w14:solidFill>
                          <w14:schemeClr w14:val="tx1"/>
                        </w14:solidFill>
                      </w14:textFill>
                    </w:rPr>
                    <w:t>施工扬尘等</w:t>
                  </w:r>
                </w:p>
              </w:tc>
              <w:tc>
                <w:tcPr>
                  <w:tcW w:w="1920" w:type="pct"/>
                  <w:tcBorders>
                    <w:bottom w:val="single" w:color="auto" w:sz="4" w:space="0"/>
                  </w:tcBorders>
                  <w:vAlign w:val="center"/>
                </w:tcPr>
                <w:p>
                  <w:pPr>
                    <w:pStyle w:val="55"/>
                    <w:adjustRightInd w:val="0"/>
                    <w:snapToGrid w:val="0"/>
                    <w:spacing w:line="240" w:lineRule="exact"/>
                    <w:rPr>
                      <w:bCs/>
                      <w:color w:val="000000" w:themeColor="text1"/>
                      <w:sz w:val="20"/>
                      <w:szCs w:val="18"/>
                      <w14:textFill>
                        <w14:solidFill>
                          <w14:schemeClr w14:val="tx1"/>
                        </w14:solidFill>
                      </w14:textFill>
                    </w:rPr>
                  </w:pPr>
                  <w:r>
                    <w:rPr>
                      <w:bCs/>
                      <w:color w:val="000000" w:themeColor="text1"/>
                      <w:sz w:val="20"/>
                      <w:szCs w:val="18"/>
                      <w14:textFill>
                        <w14:solidFill>
                          <w14:schemeClr w14:val="tx1"/>
                        </w14:solidFill>
                      </w14:textFill>
                    </w:rPr>
                    <w:t>定期洒水</w:t>
                  </w:r>
                </w:p>
              </w:tc>
              <w:tc>
                <w:tcPr>
                  <w:tcW w:w="573" w:type="pct"/>
                  <w:tcBorders>
                    <w:bottom w:val="single" w:color="auto" w:sz="4" w:space="0"/>
                    <w:right w:val="nil"/>
                  </w:tcBorders>
                  <w:vAlign w:val="center"/>
                </w:tcPr>
                <w:p>
                  <w:pPr>
                    <w:pStyle w:val="55"/>
                    <w:adjustRightInd w:val="0"/>
                    <w:snapToGrid w:val="0"/>
                    <w:rPr>
                      <w:bCs/>
                      <w:color w:val="000000" w:themeColor="text1"/>
                      <w:sz w:val="20"/>
                      <w:szCs w:val="18"/>
                      <w14:textFill>
                        <w14:solidFill>
                          <w14:schemeClr w14:val="tx1"/>
                        </w14:solidFill>
                      </w14:textFill>
                    </w:rPr>
                  </w:pPr>
                  <w:r>
                    <w:rPr>
                      <w:bCs/>
                      <w:color w:val="000000" w:themeColor="text1"/>
                      <w:sz w:val="20"/>
                      <w:szCs w:val="1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3" w:type="pct"/>
                  <w:vMerge w:val="continue"/>
                  <w:tcBorders>
                    <w:left w:val="nil"/>
                  </w:tcBorders>
                  <w:vAlign w:val="center"/>
                </w:tcPr>
                <w:p>
                  <w:pPr>
                    <w:pStyle w:val="55"/>
                    <w:adjustRightInd w:val="0"/>
                    <w:snapToGrid w:val="0"/>
                    <w:spacing w:line="240" w:lineRule="exact"/>
                    <w:rPr>
                      <w:bCs/>
                      <w:color w:val="000000"/>
                      <w:sz w:val="20"/>
                      <w:szCs w:val="18"/>
                    </w:rPr>
                  </w:pPr>
                </w:p>
              </w:tc>
              <w:tc>
                <w:tcPr>
                  <w:tcW w:w="592" w:type="pct"/>
                  <w:tcBorders>
                    <w:top w:val="single" w:color="auto" w:sz="4" w:space="0"/>
                  </w:tcBorders>
                  <w:vAlign w:val="center"/>
                </w:tcPr>
                <w:p>
                  <w:pPr>
                    <w:pStyle w:val="55"/>
                    <w:adjustRightInd w:val="0"/>
                    <w:snapToGrid w:val="0"/>
                    <w:spacing w:line="240" w:lineRule="exact"/>
                    <w:rPr>
                      <w:bCs/>
                      <w:color w:val="000000"/>
                      <w:sz w:val="20"/>
                      <w:szCs w:val="18"/>
                    </w:rPr>
                  </w:pPr>
                  <w:r>
                    <w:rPr>
                      <w:bCs/>
                      <w:color w:val="000000"/>
                      <w:sz w:val="20"/>
                      <w:szCs w:val="18"/>
                    </w:rPr>
                    <w:t>固体</w:t>
                  </w:r>
                </w:p>
                <w:p>
                  <w:pPr>
                    <w:pStyle w:val="55"/>
                    <w:adjustRightInd w:val="0"/>
                    <w:snapToGrid w:val="0"/>
                    <w:spacing w:line="240" w:lineRule="exact"/>
                    <w:rPr>
                      <w:bCs/>
                      <w:color w:val="000000"/>
                      <w:sz w:val="20"/>
                      <w:szCs w:val="18"/>
                    </w:rPr>
                  </w:pPr>
                  <w:r>
                    <w:rPr>
                      <w:bCs/>
                      <w:color w:val="000000"/>
                      <w:sz w:val="20"/>
                      <w:szCs w:val="18"/>
                    </w:rPr>
                    <w:t>废物</w:t>
                  </w:r>
                </w:p>
              </w:tc>
              <w:tc>
                <w:tcPr>
                  <w:tcW w:w="1322" w:type="pct"/>
                  <w:tcBorders>
                    <w:top w:val="single" w:color="auto" w:sz="4" w:space="0"/>
                  </w:tcBorders>
                  <w:vAlign w:val="center"/>
                </w:tcPr>
                <w:p>
                  <w:pPr>
                    <w:pStyle w:val="55"/>
                    <w:adjustRightInd w:val="0"/>
                    <w:snapToGrid w:val="0"/>
                    <w:spacing w:line="240" w:lineRule="exact"/>
                    <w:rPr>
                      <w:bCs/>
                      <w:color w:val="000000"/>
                      <w:sz w:val="20"/>
                      <w:szCs w:val="18"/>
                    </w:rPr>
                  </w:pPr>
                  <w:r>
                    <w:rPr>
                      <w:bCs/>
                      <w:color w:val="000000"/>
                      <w:sz w:val="20"/>
                      <w:szCs w:val="18"/>
                    </w:rPr>
                    <w:t>生活垃圾</w:t>
                  </w:r>
                </w:p>
              </w:tc>
              <w:tc>
                <w:tcPr>
                  <w:tcW w:w="1920" w:type="pct"/>
                  <w:tcBorders>
                    <w:top w:val="single" w:color="auto" w:sz="4" w:space="0"/>
                  </w:tcBorders>
                  <w:vAlign w:val="center"/>
                </w:tcPr>
                <w:p>
                  <w:pPr>
                    <w:pStyle w:val="55"/>
                    <w:adjustRightInd w:val="0"/>
                    <w:snapToGrid w:val="0"/>
                    <w:spacing w:line="240" w:lineRule="exact"/>
                    <w:rPr>
                      <w:bCs/>
                      <w:color w:val="000000"/>
                      <w:sz w:val="20"/>
                      <w:szCs w:val="18"/>
                    </w:rPr>
                  </w:pPr>
                  <w:r>
                    <w:rPr>
                      <w:bCs/>
                      <w:color w:val="000000"/>
                      <w:sz w:val="20"/>
                      <w:szCs w:val="18"/>
                    </w:rPr>
                    <w:t>统一纳入医院生活垃圾清运系统</w:t>
                  </w:r>
                </w:p>
              </w:tc>
              <w:tc>
                <w:tcPr>
                  <w:tcW w:w="573" w:type="pct"/>
                  <w:tcBorders>
                    <w:top w:val="single" w:color="auto" w:sz="4" w:space="0"/>
                    <w:right w:val="nil"/>
                  </w:tcBorders>
                  <w:vAlign w:val="center"/>
                </w:tcPr>
                <w:p>
                  <w:pPr>
                    <w:pStyle w:val="55"/>
                    <w:adjustRightInd w:val="0"/>
                    <w:snapToGrid w:val="0"/>
                    <w:rPr>
                      <w:bCs/>
                      <w:color w:val="000000"/>
                      <w:sz w:val="20"/>
                      <w:szCs w:val="18"/>
                    </w:rPr>
                  </w:pPr>
                  <w:r>
                    <w:rPr>
                      <w:bCs/>
                      <w:color w:val="000000"/>
                      <w:sz w:val="20"/>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3" w:type="pct"/>
                  <w:tcBorders>
                    <w:left w:val="nil"/>
                    <w:bottom w:val="single" w:color="auto" w:sz="4" w:space="0"/>
                  </w:tcBorders>
                  <w:vAlign w:val="center"/>
                </w:tcPr>
                <w:p>
                  <w:pPr>
                    <w:pStyle w:val="55"/>
                    <w:adjustRightInd w:val="0"/>
                    <w:snapToGrid w:val="0"/>
                    <w:spacing w:line="240" w:lineRule="exact"/>
                    <w:rPr>
                      <w:bCs/>
                      <w:color w:val="000000"/>
                      <w:sz w:val="20"/>
                      <w:szCs w:val="18"/>
                    </w:rPr>
                  </w:pPr>
                  <w:r>
                    <w:rPr>
                      <w:bCs/>
                      <w:color w:val="000000"/>
                      <w:sz w:val="20"/>
                      <w:szCs w:val="18"/>
                    </w:rPr>
                    <w:t>项目验收阶段</w:t>
                  </w:r>
                </w:p>
              </w:tc>
              <w:tc>
                <w:tcPr>
                  <w:tcW w:w="592" w:type="pct"/>
                  <w:tcBorders>
                    <w:bottom w:val="single" w:color="auto" w:sz="4" w:space="0"/>
                  </w:tcBorders>
                  <w:vAlign w:val="center"/>
                </w:tcPr>
                <w:p>
                  <w:pPr>
                    <w:pStyle w:val="55"/>
                    <w:adjustRightInd w:val="0"/>
                    <w:snapToGrid w:val="0"/>
                    <w:spacing w:line="240" w:lineRule="exact"/>
                    <w:rPr>
                      <w:bCs/>
                      <w:color w:val="000000"/>
                      <w:sz w:val="20"/>
                      <w:szCs w:val="18"/>
                    </w:rPr>
                  </w:pPr>
                  <w:r>
                    <w:rPr>
                      <w:bCs/>
                      <w:color w:val="000000"/>
                      <w:sz w:val="20"/>
                      <w:szCs w:val="18"/>
                    </w:rPr>
                    <w:t>竣工验收监测</w:t>
                  </w:r>
                </w:p>
              </w:tc>
              <w:tc>
                <w:tcPr>
                  <w:tcW w:w="1322" w:type="pct"/>
                  <w:tcBorders>
                    <w:bottom w:val="single" w:color="auto" w:sz="4" w:space="0"/>
                  </w:tcBorders>
                  <w:vAlign w:val="center"/>
                </w:tcPr>
                <w:p>
                  <w:pPr>
                    <w:pStyle w:val="55"/>
                    <w:adjustRightInd w:val="0"/>
                    <w:snapToGrid w:val="0"/>
                    <w:spacing w:line="240" w:lineRule="exact"/>
                    <w:rPr>
                      <w:bCs/>
                      <w:color w:val="000000"/>
                      <w:sz w:val="20"/>
                      <w:szCs w:val="18"/>
                    </w:rPr>
                  </w:pPr>
                  <w:r>
                    <w:rPr>
                      <w:bCs/>
                      <w:color w:val="000000"/>
                      <w:sz w:val="20"/>
                      <w:szCs w:val="18"/>
                    </w:rPr>
                    <w:t>—</w:t>
                  </w:r>
                </w:p>
              </w:tc>
              <w:tc>
                <w:tcPr>
                  <w:tcW w:w="1920" w:type="pct"/>
                  <w:tcBorders>
                    <w:bottom w:val="single" w:color="auto" w:sz="4" w:space="0"/>
                  </w:tcBorders>
                  <w:vAlign w:val="center"/>
                </w:tcPr>
                <w:p>
                  <w:pPr>
                    <w:pStyle w:val="55"/>
                    <w:adjustRightInd w:val="0"/>
                    <w:snapToGrid w:val="0"/>
                    <w:spacing w:line="240" w:lineRule="exact"/>
                    <w:rPr>
                      <w:bCs/>
                      <w:color w:val="000000"/>
                      <w:sz w:val="20"/>
                      <w:szCs w:val="18"/>
                    </w:rPr>
                  </w:pPr>
                  <w:r>
                    <w:rPr>
                      <w:bCs/>
                      <w:color w:val="000000"/>
                      <w:sz w:val="20"/>
                      <w:szCs w:val="18"/>
                    </w:rPr>
                    <w:t>—</w:t>
                  </w:r>
                </w:p>
              </w:tc>
              <w:tc>
                <w:tcPr>
                  <w:tcW w:w="573" w:type="pct"/>
                  <w:tcBorders>
                    <w:bottom w:val="single" w:color="auto" w:sz="4" w:space="0"/>
                    <w:right w:val="nil"/>
                  </w:tcBorders>
                  <w:vAlign w:val="center"/>
                </w:tcPr>
                <w:p>
                  <w:pPr>
                    <w:pStyle w:val="55"/>
                    <w:adjustRightInd w:val="0"/>
                    <w:snapToGrid w:val="0"/>
                    <w:rPr>
                      <w:bCs/>
                      <w:color w:val="000000"/>
                      <w:sz w:val="20"/>
                      <w:szCs w:val="18"/>
                    </w:rPr>
                  </w:pPr>
                  <w:r>
                    <w:rPr>
                      <w:bCs/>
                      <w:color w:val="000000" w:themeColor="text1"/>
                      <w:sz w:val="20"/>
                      <w:szCs w:val="18"/>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3" w:type="pct"/>
                  <w:vMerge w:val="restart"/>
                  <w:tcBorders>
                    <w:left w:val="nil"/>
                  </w:tcBorders>
                  <w:vAlign w:val="center"/>
                </w:tcPr>
                <w:p>
                  <w:pPr>
                    <w:pStyle w:val="55"/>
                    <w:adjustRightInd w:val="0"/>
                    <w:snapToGrid w:val="0"/>
                    <w:spacing w:line="240" w:lineRule="exact"/>
                    <w:rPr>
                      <w:bCs/>
                      <w:color w:val="000000"/>
                      <w:sz w:val="20"/>
                      <w:szCs w:val="18"/>
                    </w:rPr>
                  </w:pPr>
                  <w:r>
                    <w:rPr>
                      <w:rFonts w:hint="eastAsia"/>
                      <w:bCs/>
                      <w:color w:val="000000"/>
                      <w:sz w:val="20"/>
                      <w:szCs w:val="18"/>
                    </w:rPr>
                    <w:t>辐射安全设施</w:t>
                  </w:r>
                </w:p>
              </w:tc>
              <w:tc>
                <w:tcPr>
                  <w:tcW w:w="592" w:type="pct"/>
                  <w:vAlign w:val="center"/>
                </w:tcPr>
                <w:p>
                  <w:pPr>
                    <w:pStyle w:val="55"/>
                    <w:adjustRightInd w:val="0"/>
                    <w:snapToGrid w:val="0"/>
                    <w:spacing w:line="240" w:lineRule="exact"/>
                    <w:rPr>
                      <w:bCs/>
                      <w:color w:val="000000"/>
                      <w:sz w:val="20"/>
                      <w:szCs w:val="18"/>
                    </w:rPr>
                  </w:pPr>
                  <w:r>
                    <w:rPr>
                      <w:bCs/>
                      <w:color w:val="000000"/>
                      <w:sz w:val="20"/>
                      <w:szCs w:val="18"/>
                    </w:rPr>
                    <w:t>废气</w:t>
                  </w:r>
                </w:p>
              </w:tc>
              <w:tc>
                <w:tcPr>
                  <w:tcW w:w="1322" w:type="pct"/>
                  <w:vAlign w:val="center"/>
                </w:tcPr>
                <w:p>
                  <w:pPr>
                    <w:pStyle w:val="55"/>
                    <w:adjustRightInd w:val="0"/>
                    <w:snapToGrid w:val="0"/>
                    <w:spacing w:line="240" w:lineRule="exact"/>
                    <w:rPr>
                      <w:bCs/>
                      <w:color w:val="000000"/>
                      <w:sz w:val="20"/>
                      <w:szCs w:val="18"/>
                    </w:rPr>
                  </w:pPr>
                  <w:r>
                    <w:rPr>
                      <w:bCs/>
                      <w:color w:val="000000"/>
                      <w:sz w:val="20"/>
                      <w:szCs w:val="18"/>
                    </w:rPr>
                    <w:t>DSA机房</w:t>
                  </w:r>
                  <w:r>
                    <w:rPr>
                      <w:rFonts w:hint="eastAsia"/>
                      <w:bCs/>
                      <w:color w:val="000000"/>
                      <w:sz w:val="20"/>
                      <w:szCs w:val="18"/>
                    </w:rPr>
                    <w:t>产生的</w:t>
                  </w:r>
                  <w:r>
                    <w:rPr>
                      <w:bCs/>
                      <w:color w:val="000000"/>
                      <w:sz w:val="20"/>
                      <w:szCs w:val="18"/>
                    </w:rPr>
                    <w:t>NO</w:t>
                  </w:r>
                  <w:r>
                    <w:rPr>
                      <w:bCs/>
                      <w:color w:val="000000"/>
                      <w:sz w:val="20"/>
                      <w:szCs w:val="18"/>
                      <w:vertAlign w:val="subscript"/>
                    </w:rPr>
                    <w:t>X</w:t>
                  </w:r>
                  <w:r>
                    <w:rPr>
                      <w:bCs/>
                      <w:color w:val="000000"/>
                      <w:sz w:val="20"/>
                      <w:szCs w:val="18"/>
                    </w:rPr>
                    <w:t>、臭氧</w:t>
                  </w:r>
                </w:p>
              </w:tc>
              <w:tc>
                <w:tcPr>
                  <w:tcW w:w="1920" w:type="pct"/>
                  <w:vAlign w:val="center"/>
                </w:tcPr>
                <w:p>
                  <w:pPr>
                    <w:pStyle w:val="55"/>
                    <w:adjustRightInd w:val="0"/>
                    <w:snapToGrid w:val="0"/>
                    <w:spacing w:line="240" w:lineRule="exact"/>
                    <w:rPr>
                      <w:bCs/>
                      <w:color w:val="000000"/>
                      <w:sz w:val="20"/>
                      <w:szCs w:val="18"/>
                    </w:rPr>
                  </w:pPr>
                  <w:r>
                    <w:rPr>
                      <w:rFonts w:hint="eastAsia"/>
                      <w:bCs/>
                      <w:color w:val="000000"/>
                      <w:sz w:val="20"/>
                      <w:szCs w:val="18"/>
                    </w:rPr>
                    <w:t>通过排</w:t>
                  </w:r>
                  <w:r>
                    <w:rPr>
                      <w:bCs/>
                      <w:color w:val="000000"/>
                      <w:sz w:val="20"/>
                      <w:szCs w:val="18"/>
                    </w:rPr>
                    <w:t>风装置</w:t>
                  </w:r>
                  <w:r>
                    <w:rPr>
                      <w:rFonts w:hint="eastAsia"/>
                      <w:bCs/>
                      <w:color w:val="000000"/>
                      <w:sz w:val="20"/>
                      <w:szCs w:val="18"/>
                    </w:rPr>
                    <w:t>排出</w:t>
                  </w:r>
                </w:p>
              </w:tc>
              <w:tc>
                <w:tcPr>
                  <w:tcW w:w="573" w:type="pct"/>
                  <w:tcBorders>
                    <w:right w:val="nil"/>
                  </w:tcBorders>
                  <w:vAlign w:val="center"/>
                </w:tcPr>
                <w:p>
                  <w:pPr>
                    <w:pStyle w:val="55"/>
                    <w:adjustRightInd w:val="0"/>
                    <w:snapToGrid w:val="0"/>
                    <w:rPr>
                      <w:bCs/>
                      <w:color w:val="000000"/>
                      <w:sz w:val="20"/>
                      <w:szCs w:val="18"/>
                    </w:rPr>
                  </w:pPr>
                  <w:r>
                    <w:rPr>
                      <w:bCs/>
                      <w:color w:val="000000"/>
                      <w:sz w:val="20"/>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3" w:type="pct"/>
                  <w:vMerge w:val="continue"/>
                  <w:tcBorders>
                    <w:left w:val="nil"/>
                  </w:tcBorders>
                  <w:vAlign w:val="center"/>
                </w:tcPr>
                <w:p>
                  <w:pPr>
                    <w:pStyle w:val="55"/>
                    <w:adjustRightInd w:val="0"/>
                    <w:snapToGrid w:val="0"/>
                    <w:spacing w:line="240" w:lineRule="exact"/>
                    <w:rPr>
                      <w:bCs/>
                      <w:color w:val="000000"/>
                      <w:sz w:val="20"/>
                      <w:szCs w:val="18"/>
                    </w:rPr>
                  </w:pPr>
                </w:p>
              </w:tc>
              <w:tc>
                <w:tcPr>
                  <w:tcW w:w="592" w:type="pct"/>
                  <w:vAlign w:val="center"/>
                </w:tcPr>
                <w:p>
                  <w:pPr>
                    <w:pStyle w:val="55"/>
                    <w:adjustRightInd w:val="0"/>
                    <w:snapToGrid w:val="0"/>
                    <w:spacing w:line="240" w:lineRule="exact"/>
                    <w:rPr>
                      <w:bCs/>
                      <w:color w:val="000000" w:themeColor="text1"/>
                      <w:sz w:val="20"/>
                      <w:szCs w:val="18"/>
                      <w14:textFill>
                        <w14:solidFill>
                          <w14:schemeClr w14:val="tx1"/>
                        </w14:solidFill>
                      </w14:textFill>
                    </w:rPr>
                  </w:pPr>
                  <w:r>
                    <w:rPr>
                      <w:bCs/>
                      <w:color w:val="000000" w:themeColor="text1"/>
                      <w:sz w:val="20"/>
                      <w:szCs w:val="18"/>
                      <w14:textFill>
                        <w14:solidFill>
                          <w14:schemeClr w14:val="tx1"/>
                        </w14:solidFill>
                      </w14:textFill>
                    </w:rPr>
                    <w:t>辐射环境</w:t>
                  </w:r>
                </w:p>
              </w:tc>
              <w:tc>
                <w:tcPr>
                  <w:tcW w:w="1322" w:type="pct"/>
                  <w:vAlign w:val="center"/>
                </w:tcPr>
                <w:p>
                  <w:pPr>
                    <w:pStyle w:val="55"/>
                    <w:adjustRightInd w:val="0"/>
                    <w:snapToGrid w:val="0"/>
                    <w:spacing w:line="240" w:lineRule="exact"/>
                    <w:rPr>
                      <w:bCs/>
                      <w:color w:val="000000" w:themeColor="text1"/>
                      <w:sz w:val="20"/>
                      <w:szCs w:val="18"/>
                      <w14:textFill>
                        <w14:solidFill>
                          <w14:schemeClr w14:val="tx1"/>
                        </w14:solidFill>
                      </w14:textFill>
                    </w:rPr>
                  </w:pPr>
                  <w:r>
                    <w:rPr>
                      <w:bCs/>
                      <w:color w:val="000000" w:themeColor="text1"/>
                      <w:sz w:val="20"/>
                      <w:szCs w:val="18"/>
                      <w14:textFill>
                        <w14:solidFill>
                          <w14:schemeClr w14:val="tx1"/>
                        </w14:solidFill>
                      </w14:textFill>
                    </w:rPr>
                    <w:t>X射线</w:t>
                  </w:r>
                </w:p>
              </w:tc>
              <w:tc>
                <w:tcPr>
                  <w:tcW w:w="1920" w:type="pct"/>
                  <w:tcBorders>
                    <w:bottom w:val="single" w:color="auto" w:sz="4" w:space="0"/>
                  </w:tcBorders>
                  <w:vAlign w:val="center"/>
                </w:tcPr>
                <w:p>
                  <w:pPr>
                    <w:pStyle w:val="55"/>
                    <w:adjustRightInd w:val="0"/>
                    <w:snapToGrid w:val="0"/>
                    <w:spacing w:line="240" w:lineRule="exact"/>
                    <w:rPr>
                      <w:bCs/>
                      <w:color w:val="000000" w:themeColor="text1"/>
                      <w:sz w:val="20"/>
                      <w:szCs w:val="18"/>
                      <w14:textFill>
                        <w14:solidFill>
                          <w14:schemeClr w14:val="tx1"/>
                        </w14:solidFill>
                      </w14:textFill>
                    </w:rPr>
                  </w:pPr>
                  <w:r>
                    <w:rPr>
                      <w:rFonts w:hint="eastAsia"/>
                      <w:bCs/>
                      <w:color w:val="000000" w:themeColor="text1"/>
                      <w:sz w:val="20"/>
                      <w:szCs w:val="18"/>
                      <w14:textFill>
                        <w14:solidFill>
                          <w14:schemeClr w14:val="tx1"/>
                        </w14:solidFill>
                      </w14:textFill>
                    </w:rPr>
                    <w:t>电离辐射警示标志若干、门-灯联动系统1套、对讲装置</w:t>
                  </w:r>
                  <w:r>
                    <w:rPr>
                      <w:bCs/>
                      <w:color w:val="000000" w:themeColor="text1"/>
                      <w:sz w:val="20"/>
                      <w:szCs w:val="18"/>
                      <w14:textFill>
                        <w14:solidFill>
                          <w14:schemeClr w14:val="tx1"/>
                        </w14:solidFill>
                      </w14:textFill>
                    </w:rPr>
                    <w:t>2</w:t>
                  </w:r>
                  <w:r>
                    <w:rPr>
                      <w:rFonts w:hint="eastAsia"/>
                      <w:bCs/>
                      <w:color w:val="000000" w:themeColor="text1"/>
                      <w:sz w:val="20"/>
                      <w:szCs w:val="18"/>
                      <w14:textFill>
                        <w14:solidFill>
                          <w14:schemeClr w14:val="tx1"/>
                        </w14:solidFill>
                      </w14:textFill>
                    </w:rPr>
                    <w:t>个、工作状态指示灯1个、自动闭门装置</w:t>
                  </w:r>
                  <w:r>
                    <w:rPr>
                      <w:bCs/>
                      <w:color w:val="000000" w:themeColor="text1"/>
                      <w:sz w:val="20"/>
                      <w:szCs w:val="18"/>
                      <w14:textFill>
                        <w14:solidFill>
                          <w14:schemeClr w14:val="tx1"/>
                        </w14:solidFill>
                      </w14:textFill>
                    </w:rPr>
                    <w:t>1</w:t>
                  </w:r>
                  <w:r>
                    <w:rPr>
                      <w:rFonts w:hint="eastAsia"/>
                      <w:bCs/>
                      <w:color w:val="000000" w:themeColor="text1"/>
                      <w:sz w:val="20"/>
                      <w:szCs w:val="18"/>
                      <w14:textFill>
                        <w14:solidFill>
                          <w14:schemeClr w14:val="tx1"/>
                        </w14:solidFill>
                      </w14:textFill>
                    </w:rPr>
                    <w:t>个、防夹装置</w:t>
                  </w:r>
                  <w:r>
                    <w:rPr>
                      <w:bCs/>
                      <w:color w:val="000000" w:themeColor="text1"/>
                      <w:sz w:val="20"/>
                      <w:szCs w:val="18"/>
                      <w14:textFill>
                        <w14:solidFill>
                          <w14:schemeClr w14:val="tx1"/>
                        </w14:solidFill>
                      </w14:textFill>
                    </w:rPr>
                    <w:t>1</w:t>
                  </w:r>
                  <w:r>
                    <w:rPr>
                      <w:rFonts w:hint="eastAsia"/>
                      <w:bCs/>
                      <w:color w:val="000000" w:themeColor="text1"/>
                      <w:sz w:val="20"/>
                      <w:szCs w:val="18"/>
                      <w14:textFill>
                        <w14:solidFill>
                          <w14:schemeClr w14:val="tx1"/>
                        </w14:solidFill>
                      </w14:textFill>
                    </w:rPr>
                    <w:t>个等</w:t>
                  </w:r>
                </w:p>
              </w:tc>
              <w:tc>
                <w:tcPr>
                  <w:tcW w:w="573" w:type="pct"/>
                  <w:tcBorders>
                    <w:bottom w:val="single" w:color="auto" w:sz="4" w:space="0"/>
                    <w:right w:val="nil"/>
                  </w:tcBorders>
                  <w:vAlign w:val="center"/>
                </w:tcPr>
                <w:p>
                  <w:pPr>
                    <w:pStyle w:val="55"/>
                    <w:adjustRightInd w:val="0"/>
                    <w:snapToGrid w:val="0"/>
                    <w:rPr>
                      <w:bCs/>
                      <w:color w:val="000000" w:themeColor="text1"/>
                      <w:sz w:val="20"/>
                      <w:szCs w:val="18"/>
                      <w14:textFill>
                        <w14:solidFill>
                          <w14:schemeClr w14:val="tx1"/>
                        </w14:solidFill>
                      </w14:textFill>
                    </w:rPr>
                  </w:pPr>
                  <w:r>
                    <w:rPr>
                      <w:bCs/>
                      <w:color w:val="000000" w:themeColor="text1"/>
                      <w:sz w:val="20"/>
                      <w:szCs w:val="18"/>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3" w:type="pct"/>
                  <w:vMerge w:val="restart"/>
                  <w:tcBorders>
                    <w:left w:val="nil"/>
                  </w:tcBorders>
                  <w:vAlign w:val="center"/>
                </w:tcPr>
                <w:p>
                  <w:pPr>
                    <w:pStyle w:val="55"/>
                    <w:adjustRightInd w:val="0"/>
                    <w:snapToGrid w:val="0"/>
                    <w:spacing w:line="240" w:lineRule="exact"/>
                    <w:rPr>
                      <w:bCs/>
                      <w:color w:val="000000"/>
                      <w:sz w:val="20"/>
                      <w:szCs w:val="18"/>
                    </w:rPr>
                  </w:pPr>
                  <w:r>
                    <w:rPr>
                      <w:bCs/>
                      <w:color w:val="000000"/>
                      <w:sz w:val="20"/>
                      <w:szCs w:val="18"/>
                    </w:rPr>
                    <w:t>环境</w:t>
                  </w:r>
                </w:p>
                <w:p>
                  <w:pPr>
                    <w:pStyle w:val="55"/>
                    <w:adjustRightInd w:val="0"/>
                    <w:snapToGrid w:val="0"/>
                    <w:spacing w:line="240" w:lineRule="exact"/>
                    <w:rPr>
                      <w:bCs/>
                      <w:color w:val="000000"/>
                      <w:sz w:val="20"/>
                      <w:szCs w:val="18"/>
                    </w:rPr>
                  </w:pPr>
                  <w:r>
                    <w:rPr>
                      <w:bCs/>
                      <w:color w:val="000000"/>
                      <w:sz w:val="20"/>
                      <w:szCs w:val="18"/>
                    </w:rPr>
                    <w:t>管理</w:t>
                  </w:r>
                </w:p>
              </w:tc>
              <w:tc>
                <w:tcPr>
                  <w:tcW w:w="3834" w:type="pct"/>
                  <w:gridSpan w:val="3"/>
                  <w:vAlign w:val="center"/>
                </w:tcPr>
                <w:p>
                  <w:pPr>
                    <w:pStyle w:val="55"/>
                    <w:adjustRightInd w:val="0"/>
                    <w:snapToGrid w:val="0"/>
                    <w:spacing w:line="240" w:lineRule="exact"/>
                    <w:rPr>
                      <w:bCs/>
                      <w:color w:val="000000" w:themeColor="text1"/>
                      <w:sz w:val="20"/>
                      <w:szCs w:val="18"/>
                      <w14:textFill>
                        <w14:solidFill>
                          <w14:schemeClr w14:val="tx1"/>
                        </w14:solidFill>
                      </w14:textFill>
                    </w:rPr>
                  </w:pPr>
                  <w:r>
                    <w:rPr>
                      <w:bCs/>
                      <w:color w:val="000000" w:themeColor="text1"/>
                      <w:sz w:val="20"/>
                      <w:szCs w:val="18"/>
                      <w14:textFill>
                        <w14:solidFill>
                          <w14:schemeClr w14:val="tx1"/>
                        </w14:solidFill>
                      </w14:textFill>
                    </w:rPr>
                    <w:t>制定环境管理制度</w:t>
                  </w:r>
                </w:p>
              </w:tc>
              <w:tc>
                <w:tcPr>
                  <w:tcW w:w="573" w:type="pct"/>
                  <w:tcBorders>
                    <w:right w:val="nil"/>
                  </w:tcBorders>
                  <w:vAlign w:val="center"/>
                </w:tcPr>
                <w:p>
                  <w:pPr>
                    <w:pStyle w:val="55"/>
                    <w:adjustRightInd w:val="0"/>
                    <w:snapToGrid w:val="0"/>
                    <w:rPr>
                      <w:bCs/>
                      <w:color w:val="000000" w:themeColor="text1"/>
                      <w:sz w:val="20"/>
                      <w:szCs w:val="18"/>
                      <w14:textFill>
                        <w14:solidFill>
                          <w14:schemeClr w14:val="tx1"/>
                        </w14:solidFill>
                      </w14:textFill>
                    </w:rPr>
                  </w:pPr>
                  <w:r>
                    <w:rPr>
                      <w:bCs/>
                      <w:color w:val="000000" w:themeColor="text1"/>
                      <w:sz w:val="2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3" w:type="pct"/>
                  <w:vMerge w:val="continue"/>
                  <w:tcBorders>
                    <w:left w:val="nil"/>
                  </w:tcBorders>
                  <w:vAlign w:val="center"/>
                </w:tcPr>
                <w:p>
                  <w:pPr>
                    <w:pStyle w:val="55"/>
                    <w:adjustRightInd w:val="0"/>
                    <w:snapToGrid w:val="0"/>
                    <w:spacing w:line="240" w:lineRule="exact"/>
                    <w:rPr>
                      <w:bCs/>
                      <w:color w:val="000000"/>
                      <w:sz w:val="20"/>
                      <w:szCs w:val="18"/>
                    </w:rPr>
                  </w:pPr>
                </w:p>
              </w:tc>
              <w:tc>
                <w:tcPr>
                  <w:tcW w:w="3834" w:type="pct"/>
                  <w:gridSpan w:val="3"/>
                  <w:vAlign w:val="center"/>
                </w:tcPr>
                <w:p>
                  <w:pPr>
                    <w:pStyle w:val="55"/>
                    <w:adjustRightInd w:val="0"/>
                    <w:snapToGrid w:val="0"/>
                    <w:spacing w:line="240" w:lineRule="exact"/>
                    <w:rPr>
                      <w:bCs/>
                      <w:color w:val="000000" w:themeColor="text1"/>
                      <w:sz w:val="20"/>
                      <w:szCs w:val="18"/>
                      <w14:textFill>
                        <w14:solidFill>
                          <w14:schemeClr w14:val="tx1"/>
                        </w14:solidFill>
                      </w14:textFill>
                    </w:rPr>
                  </w:pPr>
                  <w:r>
                    <w:rPr>
                      <w:bCs/>
                      <w:color w:val="000000" w:themeColor="text1"/>
                      <w:sz w:val="20"/>
                      <w:szCs w:val="18"/>
                      <w14:textFill>
                        <w14:solidFill>
                          <w14:schemeClr w14:val="tx1"/>
                        </w14:solidFill>
                      </w14:textFill>
                    </w:rPr>
                    <w:t>配备个人防护用品</w:t>
                  </w:r>
                  <w:r>
                    <w:rPr>
                      <w:rFonts w:hint="eastAsia"/>
                      <w:bCs/>
                      <w:color w:val="000000" w:themeColor="text1"/>
                      <w:sz w:val="20"/>
                      <w:szCs w:val="18"/>
                      <w14:textFill>
                        <w14:solidFill>
                          <w14:schemeClr w14:val="tx1"/>
                        </w14:solidFill>
                      </w14:textFill>
                    </w:rPr>
                    <w:t>（5件铅衣、5件铅帽、5副铅眼镜、5件铅围脖等）</w:t>
                  </w:r>
                </w:p>
              </w:tc>
              <w:tc>
                <w:tcPr>
                  <w:tcW w:w="573" w:type="pct"/>
                  <w:tcBorders>
                    <w:right w:val="nil"/>
                  </w:tcBorders>
                  <w:vAlign w:val="center"/>
                </w:tcPr>
                <w:p>
                  <w:pPr>
                    <w:pStyle w:val="55"/>
                    <w:adjustRightInd w:val="0"/>
                    <w:snapToGrid w:val="0"/>
                    <w:rPr>
                      <w:bCs/>
                      <w:color w:val="000000" w:themeColor="text1"/>
                      <w:sz w:val="20"/>
                      <w:szCs w:val="18"/>
                      <w14:textFill>
                        <w14:solidFill>
                          <w14:schemeClr w14:val="tx1"/>
                        </w14:solidFill>
                      </w14:textFill>
                    </w:rPr>
                  </w:pPr>
                  <w:r>
                    <w:rPr>
                      <w:bCs/>
                      <w:color w:val="000000" w:themeColor="text1"/>
                      <w:sz w:val="20"/>
                      <w:szCs w:val="1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3" w:type="pct"/>
                  <w:tcBorders>
                    <w:left w:val="nil"/>
                  </w:tcBorders>
                  <w:vAlign w:val="center"/>
                </w:tcPr>
                <w:p>
                  <w:pPr>
                    <w:pStyle w:val="55"/>
                    <w:adjustRightInd w:val="0"/>
                    <w:snapToGrid w:val="0"/>
                    <w:spacing w:line="240" w:lineRule="exact"/>
                    <w:rPr>
                      <w:bCs/>
                      <w:color w:val="000000"/>
                      <w:sz w:val="20"/>
                      <w:szCs w:val="18"/>
                    </w:rPr>
                  </w:pPr>
                  <w:r>
                    <w:rPr>
                      <w:bCs/>
                      <w:color w:val="000000"/>
                      <w:sz w:val="20"/>
                      <w:szCs w:val="18"/>
                    </w:rPr>
                    <w:t>环境</w:t>
                  </w:r>
                </w:p>
                <w:p>
                  <w:pPr>
                    <w:pStyle w:val="55"/>
                    <w:adjustRightInd w:val="0"/>
                    <w:snapToGrid w:val="0"/>
                    <w:spacing w:line="240" w:lineRule="exact"/>
                    <w:rPr>
                      <w:bCs/>
                      <w:color w:val="000000"/>
                      <w:sz w:val="20"/>
                      <w:szCs w:val="18"/>
                    </w:rPr>
                  </w:pPr>
                  <w:r>
                    <w:rPr>
                      <w:bCs/>
                      <w:color w:val="000000"/>
                      <w:sz w:val="20"/>
                      <w:szCs w:val="18"/>
                    </w:rPr>
                    <w:t>监测</w:t>
                  </w:r>
                </w:p>
              </w:tc>
              <w:tc>
                <w:tcPr>
                  <w:tcW w:w="3834" w:type="pct"/>
                  <w:gridSpan w:val="3"/>
                  <w:vAlign w:val="center"/>
                </w:tcPr>
                <w:p>
                  <w:pPr>
                    <w:pStyle w:val="55"/>
                    <w:adjustRightInd w:val="0"/>
                    <w:snapToGrid w:val="0"/>
                    <w:spacing w:line="240" w:lineRule="exact"/>
                    <w:rPr>
                      <w:bCs/>
                      <w:color w:val="000000" w:themeColor="text1"/>
                      <w:sz w:val="20"/>
                      <w:szCs w:val="18"/>
                      <w14:textFill>
                        <w14:solidFill>
                          <w14:schemeClr w14:val="tx1"/>
                        </w14:solidFill>
                      </w14:textFill>
                    </w:rPr>
                  </w:pPr>
                  <w:r>
                    <w:rPr>
                      <w:bCs/>
                      <w:color w:val="000000" w:themeColor="text1"/>
                      <w:sz w:val="20"/>
                      <w:szCs w:val="18"/>
                      <w14:textFill>
                        <w14:solidFill>
                          <w14:schemeClr w14:val="tx1"/>
                        </w14:solidFill>
                      </w14:textFill>
                    </w:rPr>
                    <w:t>配备X-γ辐射剂量率检测仪</w:t>
                  </w:r>
                  <w:r>
                    <w:rPr>
                      <w:rFonts w:hint="eastAsia"/>
                      <w:bCs/>
                      <w:color w:val="000000" w:themeColor="text1"/>
                      <w:sz w:val="20"/>
                      <w:szCs w:val="18"/>
                      <w14:textFill>
                        <w14:solidFill>
                          <w14:schemeClr w14:val="tx1"/>
                        </w14:solidFill>
                      </w14:textFill>
                    </w:rPr>
                    <w:t>1台</w:t>
                  </w:r>
                  <w:r>
                    <w:rPr>
                      <w:bCs/>
                      <w:color w:val="000000" w:themeColor="text1"/>
                      <w:sz w:val="20"/>
                      <w:szCs w:val="18"/>
                      <w14:textFill>
                        <w14:solidFill>
                          <w14:schemeClr w14:val="tx1"/>
                        </w14:solidFill>
                      </w14:textFill>
                    </w:rPr>
                    <w:t>，定期自检</w:t>
                  </w:r>
                </w:p>
              </w:tc>
              <w:tc>
                <w:tcPr>
                  <w:tcW w:w="573" w:type="pct"/>
                  <w:tcBorders>
                    <w:right w:val="nil"/>
                  </w:tcBorders>
                  <w:vAlign w:val="center"/>
                </w:tcPr>
                <w:p>
                  <w:pPr>
                    <w:pStyle w:val="55"/>
                    <w:adjustRightInd w:val="0"/>
                    <w:snapToGrid w:val="0"/>
                    <w:rPr>
                      <w:bCs/>
                      <w:color w:val="000000" w:themeColor="text1"/>
                      <w:sz w:val="20"/>
                      <w:szCs w:val="18"/>
                      <w14:textFill>
                        <w14:solidFill>
                          <w14:schemeClr w14:val="tx1"/>
                        </w14:solidFill>
                      </w14:textFill>
                    </w:rPr>
                  </w:pPr>
                  <w:r>
                    <w:rPr>
                      <w:bCs/>
                      <w:color w:val="000000" w:themeColor="text1"/>
                      <w:sz w:val="20"/>
                      <w:szCs w:val="18"/>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3" w:type="pct"/>
                  <w:vMerge w:val="restart"/>
                  <w:tcBorders>
                    <w:left w:val="nil"/>
                  </w:tcBorders>
                  <w:vAlign w:val="center"/>
                </w:tcPr>
                <w:p>
                  <w:pPr>
                    <w:pStyle w:val="55"/>
                    <w:adjustRightInd w:val="0"/>
                    <w:snapToGrid w:val="0"/>
                    <w:rPr>
                      <w:bCs/>
                      <w:color w:val="000000"/>
                      <w:sz w:val="20"/>
                      <w:szCs w:val="18"/>
                    </w:rPr>
                  </w:pPr>
                  <w:r>
                    <w:rPr>
                      <w:bCs/>
                      <w:color w:val="000000"/>
                      <w:sz w:val="20"/>
                      <w:szCs w:val="18"/>
                    </w:rPr>
                    <w:t>人员</w:t>
                  </w:r>
                </w:p>
                <w:p>
                  <w:pPr>
                    <w:pStyle w:val="55"/>
                    <w:adjustRightInd w:val="0"/>
                    <w:snapToGrid w:val="0"/>
                    <w:rPr>
                      <w:bCs/>
                      <w:color w:val="000000"/>
                      <w:sz w:val="20"/>
                      <w:szCs w:val="18"/>
                    </w:rPr>
                  </w:pPr>
                  <w:r>
                    <w:rPr>
                      <w:bCs/>
                      <w:color w:val="000000"/>
                      <w:sz w:val="20"/>
                      <w:szCs w:val="18"/>
                    </w:rPr>
                    <w:t>管理</w:t>
                  </w:r>
                </w:p>
              </w:tc>
              <w:tc>
                <w:tcPr>
                  <w:tcW w:w="3834" w:type="pct"/>
                  <w:gridSpan w:val="3"/>
                  <w:tcBorders>
                    <w:bottom w:val="single" w:color="auto" w:sz="4" w:space="0"/>
                  </w:tcBorders>
                  <w:vAlign w:val="center"/>
                </w:tcPr>
                <w:p>
                  <w:pPr>
                    <w:pStyle w:val="55"/>
                    <w:adjustRightInd w:val="0"/>
                    <w:snapToGrid w:val="0"/>
                    <w:rPr>
                      <w:bCs/>
                      <w:color w:val="000000"/>
                      <w:sz w:val="20"/>
                      <w:szCs w:val="18"/>
                    </w:rPr>
                  </w:pPr>
                  <w:r>
                    <w:rPr>
                      <w:bCs/>
                      <w:color w:val="000000"/>
                      <w:sz w:val="20"/>
                      <w:szCs w:val="18"/>
                    </w:rPr>
                    <w:t>辐射工作人员配备个人剂量计，定期送检</w:t>
                  </w:r>
                </w:p>
              </w:tc>
              <w:tc>
                <w:tcPr>
                  <w:tcW w:w="573" w:type="pct"/>
                  <w:tcBorders>
                    <w:bottom w:val="single" w:color="auto" w:sz="4" w:space="0"/>
                    <w:right w:val="nil"/>
                  </w:tcBorders>
                  <w:vAlign w:val="center"/>
                </w:tcPr>
                <w:p>
                  <w:pPr>
                    <w:pStyle w:val="55"/>
                    <w:adjustRightInd w:val="0"/>
                    <w:snapToGrid w:val="0"/>
                    <w:rPr>
                      <w:bCs/>
                      <w:color w:val="000000"/>
                      <w:sz w:val="20"/>
                      <w:szCs w:val="18"/>
                    </w:rPr>
                  </w:pPr>
                  <w:r>
                    <w:rPr>
                      <w:bCs/>
                      <w:color w:val="000000"/>
                      <w:sz w:val="20"/>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3" w:type="pct"/>
                  <w:vMerge w:val="continue"/>
                  <w:tcBorders>
                    <w:left w:val="nil"/>
                    <w:bottom w:val="single" w:color="auto" w:sz="4" w:space="0"/>
                  </w:tcBorders>
                  <w:vAlign w:val="center"/>
                </w:tcPr>
                <w:p>
                  <w:pPr>
                    <w:pStyle w:val="55"/>
                    <w:adjustRightInd w:val="0"/>
                    <w:snapToGrid w:val="0"/>
                    <w:rPr>
                      <w:bCs/>
                      <w:color w:val="000000"/>
                      <w:sz w:val="20"/>
                      <w:szCs w:val="18"/>
                    </w:rPr>
                  </w:pPr>
                </w:p>
              </w:tc>
              <w:tc>
                <w:tcPr>
                  <w:tcW w:w="3834" w:type="pct"/>
                  <w:gridSpan w:val="3"/>
                  <w:tcBorders>
                    <w:bottom w:val="single" w:color="auto" w:sz="4" w:space="0"/>
                  </w:tcBorders>
                  <w:vAlign w:val="center"/>
                </w:tcPr>
                <w:p>
                  <w:pPr>
                    <w:pStyle w:val="55"/>
                    <w:adjustRightInd w:val="0"/>
                    <w:snapToGrid w:val="0"/>
                    <w:rPr>
                      <w:bCs/>
                      <w:color w:val="000000"/>
                      <w:sz w:val="20"/>
                      <w:szCs w:val="18"/>
                    </w:rPr>
                  </w:pPr>
                  <w:r>
                    <w:rPr>
                      <w:bCs/>
                      <w:color w:val="000000"/>
                      <w:sz w:val="20"/>
                      <w:szCs w:val="18"/>
                    </w:rPr>
                    <w:t>辐射工作人员至少每2年进行</w:t>
                  </w:r>
                  <w:r>
                    <w:rPr>
                      <w:rFonts w:hint="eastAsia"/>
                      <w:bCs/>
                      <w:color w:val="000000"/>
                      <w:sz w:val="20"/>
                      <w:szCs w:val="18"/>
                    </w:rPr>
                    <w:t>放射性</w:t>
                  </w:r>
                  <w:r>
                    <w:rPr>
                      <w:bCs/>
                      <w:color w:val="000000"/>
                      <w:sz w:val="20"/>
                      <w:szCs w:val="18"/>
                    </w:rPr>
                    <w:t>职业健康体检</w:t>
                  </w:r>
                </w:p>
              </w:tc>
              <w:tc>
                <w:tcPr>
                  <w:tcW w:w="573" w:type="pct"/>
                  <w:tcBorders>
                    <w:bottom w:val="single" w:color="auto" w:sz="4" w:space="0"/>
                    <w:right w:val="nil"/>
                  </w:tcBorders>
                  <w:vAlign w:val="center"/>
                </w:tcPr>
                <w:p>
                  <w:pPr>
                    <w:pStyle w:val="55"/>
                    <w:adjustRightInd w:val="0"/>
                    <w:snapToGrid w:val="0"/>
                    <w:rPr>
                      <w:bCs/>
                      <w:color w:val="000000"/>
                      <w:sz w:val="20"/>
                      <w:szCs w:val="18"/>
                    </w:rPr>
                  </w:pPr>
                  <w:r>
                    <w:rPr>
                      <w:bCs/>
                      <w:color w:val="000000"/>
                      <w:sz w:val="20"/>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27" w:type="pct"/>
                  <w:gridSpan w:val="4"/>
                  <w:tcBorders>
                    <w:left w:val="nil"/>
                    <w:bottom w:val="single" w:color="auto" w:sz="12" w:space="0"/>
                  </w:tcBorders>
                  <w:vAlign w:val="center"/>
                </w:tcPr>
                <w:p>
                  <w:pPr>
                    <w:pStyle w:val="55"/>
                    <w:adjustRightInd w:val="0"/>
                    <w:snapToGrid w:val="0"/>
                    <w:rPr>
                      <w:bCs/>
                      <w:color w:val="000000"/>
                      <w:sz w:val="20"/>
                      <w:szCs w:val="18"/>
                    </w:rPr>
                  </w:pPr>
                  <w:r>
                    <w:rPr>
                      <w:bCs/>
                      <w:color w:val="000000"/>
                      <w:sz w:val="20"/>
                      <w:szCs w:val="18"/>
                    </w:rPr>
                    <w:t>总投资（万元）</w:t>
                  </w:r>
                </w:p>
              </w:tc>
              <w:tc>
                <w:tcPr>
                  <w:tcW w:w="573" w:type="pct"/>
                  <w:tcBorders>
                    <w:bottom w:val="single" w:color="auto" w:sz="12" w:space="0"/>
                    <w:right w:val="nil"/>
                  </w:tcBorders>
                  <w:vAlign w:val="center"/>
                </w:tcPr>
                <w:p>
                  <w:pPr>
                    <w:pStyle w:val="55"/>
                    <w:adjustRightInd w:val="0"/>
                    <w:snapToGrid w:val="0"/>
                    <w:rPr>
                      <w:bCs/>
                      <w:color w:val="000000"/>
                      <w:sz w:val="20"/>
                      <w:szCs w:val="18"/>
                    </w:rPr>
                  </w:pPr>
                  <w:r>
                    <w:rPr>
                      <w:bCs/>
                      <w:color w:val="000000" w:themeColor="text1"/>
                      <w:sz w:val="20"/>
                      <w:szCs w:val="18"/>
                      <w14:textFill>
                        <w14:solidFill>
                          <w14:schemeClr w14:val="tx1"/>
                        </w14:solidFill>
                      </w14:textFill>
                    </w:rPr>
                    <w:t>29.0</w:t>
                  </w:r>
                </w:p>
              </w:tc>
            </w:tr>
          </w:tbl>
          <w:p>
            <w:pPr>
              <w:spacing w:line="460" w:lineRule="exact"/>
              <w:ind w:firstLine="482" w:firstLineChars="200"/>
              <w:rPr>
                <w:b/>
                <w:bCs/>
                <w:color w:val="000000"/>
              </w:rPr>
            </w:pPr>
            <w:r>
              <w:rPr>
                <w:b/>
                <w:bCs/>
                <w:color w:val="000000"/>
              </w:rPr>
              <w:t>12.5.2 竣工环境保护验收</w:t>
            </w:r>
          </w:p>
          <w:p>
            <w:pPr>
              <w:spacing w:line="360" w:lineRule="auto"/>
              <w:ind w:firstLine="480" w:firstLineChars="200"/>
              <w:rPr>
                <w:color w:val="000000"/>
              </w:rPr>
            </w:pPr>
            <w:r>
              <w:rPr>
                <w:rFonts w:hint="eastAsia"/>
                <w:color w:val="000000"/>
              </w:rPr>
              <w:t>本项目建设完成后，医院应及时委托有资质的监测机构进行环境保护竣工验收监测。按照标准以及环评相关要求，配备X-γ辐射剂量率监测仪器进行日常监测，对辐射工作人员进行剂量检测、职业健康检查。医院辐射工作人员和直接负责辐射管理人员应进行辐射防护与安全知识学习，并取得成绩合格单或辐射安全与防护培训合格证，持证上岗。制定并完善相关规章管理制度，按照《建设项目竣工环境保护验收暂行办法（国环规环评[2017]4号）》规定的程序进行环境保护自主验收工作。本项目环境保护验收清单见表12-4。</w:t>
            </w:r>
          </w:p>
          <w:p>
            <w:pPr>
              <w:spacing w:line="360" w:lineRule="auto"/>
              <w:rPr>
                <w:rFonts w:eastAsia="黑体"/>
                <w:b/>
                <w:bCs/>
                <w:sz w:val="22"/>
                <w:szCs w:val="22"/>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0" w:firstLineChars="0"/>
              <w:rPr>
                <w:rFonts w:eastAsiaTheme="minorEastAsia"/>
              </w:rPr>
            </w:pPr>
          </w:p>
          <w:p>
            <w:pPr>
              <w:spacing w:line="360" w:lineRule="auto"/>
              <w:jc w:val="center"/>
              <w:rPr>
                <w:rFonts w:eastAsia="黑体"/>
                <w:b/>
                <w:bCs/>
                <w:sz w:val="22"/>
                <w:szCs w:val="22"/>
              </w:rPr>
            </w:pPr>
            <w:r>
              <w:rPr>
                <w:rFonts w:eastAsia="黑体"/>
                <w:b/>
                <w:bCs/>
                <w:sz w:val="22"/>
                <w:szCs w:val="22"/>
              </w:rPr>
              <w:t>表12-</w:t>
            </w:r>
            <w:r>
              <w:rPr>
                <w:rFonts w:hint="eastAsia" w:eastAsia="黑体"/>
                <w:b/>
                <w:bCs/>
                <w:sz w:val="22"/>
                <w:szCs w:val="22"/>
              </w:rPr>
              <w:t>4</w:t>
            </w:r>
            <w:r>
              <w:rPr>
                <w:rFonts w:eastAsia="黑体"/>
                <w:b/>
                <w:bCs/>
                <w:sz w:val="22"/>
                <w:szCs w:val="22"/>
              </w:rPr>
              <w:t xml:space="preserve">  项目DSA竣工环境保护验收清单</w:t>
            </w:r>
          </w:p>
          <w:tbl>
            <w:tblPr>
              <w:tblStyle w:val="16"/>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658"/>
              <w:gridCol w:w="3735"/>
              <w:gridCol w:w="3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20" w:type="dxa"/>
                  <w:shd w:val="clear" w:color="auto" w:fill="auto"/>
                  <w:vAlign w:val="center"/>
                </w:tcPr>
                <w:p>
                  <w:pPr>
                    <w:jc w:val="center"/>
                    <w:rPr>
                      <w:color w:val="000000"/>
                      <w:sz w:val="21"/>
                      <w:szCs w:val="21"/>
                    </w:rPr>
                  </w:pPr>
                  <w:r>
                    <w:rPr>
                      <w:rFonts w:hint="eastAsia"/>
                      <w:color w:val="000000"/>
                      <w:sz w:val="21"/>
                      <w:szCs w:val="21"/>
                    </w:rPr>
                    <w:t>序号</w:t>
                  </w:r>
                </w:p>
              </w:tc>
              <w:tc>
                <w:tcPr>
                  <w:tcW w:w="658" w:type="dxa"/>
                  <w:shd w:val="clear" w:color="auto" w:fill="auto"/>
                  <w:vAlign w:val="center"/>
                </w:tcPr>
                <w:p>
                  <w:pPr>
                    <w:jc w:val="center"/>
                    <w:rPr>
                      <w:color w:val="000000"/>
                      <w:sz w:val="21"/>
                      <w:szCs w:val="21"/>
                    </w:rPr>
                  </w:pPr>
                  <w:r>
                    <w:rPr>
                      <w:rFonts w:ascii="宋体" w:hAnsi="宋体" w:cs="宋体"/>
                      <w:spacing w:val="-7"/>
                      <w:sz w:val="21"/>
                      <w:szCs w:val="21"/>
                    </w:rPr>
                    <w:t>项目</w:t>
                  </w:r>
                </w:p>
              </w:tc>
              <w:tc>
                <w:tcPr>
                  <w:tcW w:w="3735" w:type="dxa"/>
                  <w:shd w:val="clear" w:color="auto" w:fill="auto"/>
                  <w:vAlign w:val="center"/>
                </w:tcPr>
                <w:p>
                  <w:pPr>
                    <w:jc w:val="center"/>
                    <w:rPr>
                      <w:color w:val="000000"/>
                      <w:sz w:val="21"/>
                      <w:szCs w:val="21"/>
                    </w:rPr>
                  </w:pPr>
                  <w:r>
                    <w:rPr>
                      <w:rFonts w:ascii="宋体" w:hAnsi="宋体" w:cs="宋体"/>
                      <w:spacing w:val="-3"/>
                      <w:sz w:val="21"/>
                      <w:szCs w:val="21"/>
                    </w:rPr>
                    <w:t>验收内容</w:t>
                  </w:r>
                </w:p>
              </w:tc>
              <w:tc>
                <w:tcPr>
                  <w:tcW w:w="3413" w:type="dxa"/>
                  <w:shd w:val="clear" w:color="auto" w:fill="auto"/>
                  <w:vAlign w:val="center"/>
                </w:tcPr>
                <w:p>
                  <w:pPr>
                    <w:jc w:val="center"/>
                    <w:rPr>
                      <w:color w:val="000000"/>
                      <w:sz w:val="21"/>
                      <w:szCs w:val="21"/>
                    </w:rPr>
                  </w:pPr>
                  <w:r>
                    <w:rPr>
                      <w:rFonts w:ascii="宋体" w:hAnsi="宋体" w:cs="宋体"/>
                      <w:spacing w:val="-2"/>
                      <w:sz w:val="21"/>
                      <w:szCs w:val="21"/>
                    </w:rPr>
                    <w:t>效果和环境预期目标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7" w:hRule="atLeast"/>
                <w:jc w:val="center"/>
              </w:trPr>
              <w:tc>
                <w:tcPr>
                  <w:tcW w:w="720" w:type="dxa"/>
                  <w:shd w:val="clear" w:color="auto" w:fill="auto"/>
                  <w:vAlign w:val="center"/>
                </w:tcPr>
                <w:p>
                  <w:pPr>
                    <w:jc w:val="center"/>
                    <w:rPr>
                      <w:rFonts w:eastAsia="Times New Roman"/>
                      <w:sz w:val="21"/>
                      <w:szCs w:val="21"/>
                    </w:rPr>
                  </w:pPr>
                  <w:r>
                    <w:rPr>
                      <w:rFonts w:eastAsia="Times New Roman"/>
                      <w:sz w:val="21"/>
                      <w:szCs w:val="21"/>
                    </w:rPr>
                    <w:t>1</w:t>
                  </w:r>
                </w:p>
              </w:tc>
              <w:tc>
                <w:tcPr>
                  <w:tcW w:w="658" w:type="dxa"/>
                  <w:shd w:val="clear" w:color="auto" w:fill="auto"/>
                  <w:vAlign w:val="center"/>
                </w:tcPr>
                <w:p>
                  <w:pPr>
                    <w:jc w:val="center"/>
                    <w:rPr>
                      <w:rFonts w:ascii="宋体" w:hAnsi="宋体" w:cs="宋体"/>
                      <w:sz w:val="21"/>
                      <w:szCs w:val="21"/>
                    </w:rPr>
                  </w:pPr>
                  <w:r>
                    <w:rPr>
                      <w:rFonts w:ascii="宋体" w:hAnsi="宋体" w:cs="宋体"/>
                      <w:spacing w:val="-3"/>
                      <w:sz w:val="21"/>
                      <w:szCs w:val="21"/>
                    </w:rPr>
                    <w:t>辐射安全</w:t>
                  </w:r>
                  <w:r>
                    <w:rPr>
                      <w:rFonts w:ascii="宋体" w:hAnsi="宋体" w:cs="宋体"/>
                      <w:spacing w:val="-6"/>
                      <w:sz w:val="21"/>
                      <w:szCs w:val="21"/>
                    </w:rPr>
                    <w:t>防护</w:t>
                  </w:r>
                  <w:r>
                    <w:rPr>
                      <w:rFonts w:hint="eastAsia" w:ascii="宋体" w:hAnsi="宋体" w:cs="宋体"/>
                      <w:spacing w:val="-6"/>
                      <w:sz w:val="21"/>
                      <w:szCs w:val="21"/>
                    </w:rPr>
                    <w:t>设</w:t>
                  </w:r>
                  <w:r>
                    <w:rPr>
                      <w:rFonts w:ascii="宋体" w:hAnsi="宋体" w:cs="宋体"/>
                      <w:spacing w:val="-6"/>
                      <w:sz w:val="21"/>
                      <w:szCs w:val="21"/>
                    </w:rPr>
                    <w:t>施</w:t>
                  </w:r>
                </w:p>
              </w:tc>
              <w:tc>
                <w:tcPr>
                  <w:tcW w:w="3735" w:type="dxa"/>
                  <w:shd w:val="clear" w:color="auto" w:fill="auto"/>
                  <w:vAlign w:val="center"/>
                </w:tcPr>
                <w:p>
                  <w:pPr>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医护出入</w:t>
                  </w:r>
                  <w:r>
                    <w:rPr>
                      <w:color w:val="000000" w:themeColor="text1"/>
                      <w:sz w:val="21"/>
                      <w:szCs w:val="21"/>
                      <w14:textFill>
                        <w14:solidFill>
                          <w14:schemeClr w14:val="tx1"/>
                        </w14:solidFill>
                      </w14:textFill>
                    </w:rPr>
                    <w:t>防护门</w:t>
                  </w:r>
                  <w:r>
                    <w:rPr>
                      <w:rFonts w:hint="eastAsia"/>
                      <w:color w:val="000000" w:themeColor="text1"/>
                      <w:sz w:val="21"/>
                      <w:szCs w:val="21"/>
                      <w14:textFill>
                        <w14:solidFill>
                          <w14:schemeClr w14:val="tx1"/>
                        </w14:solidFill>
                      </w14:textFill>
                    </w:rPr>
                    <w:t>、患者出入防护门、应急通道门、污物门</w:t>
                  </w:r>
                  <w:r>
                    <w:rPr>
                      <w:color w:val="000000" w:themeColor="text1"/>
                      <w:sz w:val="21"/>
                      <w:szCs w:val="21"/>
                      <w14:textFill>
                        <w14:solidFill>
                          <w14:schemeClr w14:val="tx1"/>
                        </w14:solidFill>
                      </w14:textFill>
                    </w:rPr>
                    <w:t>外应有电离辐射警告标志、</w:t>
                  </w:r>
                  <w:r>
                    <w:rPr>
                      <w:rFonts w:hint="eastAsia"/>
                      <w:color w:val="000000" w:themeColor="text1"/>
                      <w:sz w:val="21"/>
                      <w:szCs w:val="21"/>
                      <w14:textFill>
                        <w14:solidFill>
                          <w14:schemeClr w14:val="tx1"/>
                        </w14:solidFill>
                      </w14:textFill>
                    </w:rPr>
                    <w:t>患者出入</w:t>
                  </w:r>
                  <w:r>
                    <w:rPr>
                      <w:color w:val="000000" w:themeColor="text1"/>
                      <w:sz w:val="21"/>
                      <w:szCs w:val="21"/>
                      <w14:textFill>
                        <w14:solidFill>
                          <w14:schemeClr w14:val="tx1"/>
                        </w14:solidFill>
                      </w14:textFill>
                    </w:rPr>
                    <w:t>防护门上方应有醒目的工作状态指示灯、灯箱上应设置“射线有害、灯亮勿入”的可视警示标志、应设有门灯联锁装置、候诊区设有放射防护注意事项告知栏、</w:t>
                  </w:r>
                  <w:r>
                    <w:rPr>
                      <w:rFonts w:hint="eastAsia"/>
                      <w:color w:val="000000" w:themeColor="text1"/>
                      <w:sz w:val="21"/>
                      <w:szCs w:val="21"/>
                      <w14:textFill>
                        <w14:solidFill>
                          <w14:schemeClr w14:val="tx1"/>
                        </w14:solidFill>
                      </w14:textFill>
                    </w:rPr>
                    <w:t>DSA手术室</w:t>
                  </w:r>
                  <w:r>
                    <w:rPr>
                      <w:color w:val="000000" w:themeColor="text1"/>
                      <w:sz w:val="21"/>
                      <w:szCs w:val="21"/>
                      <w14:textFill>
                        <w14:solidFill>
                          <w14:schemeClr w14:val="tx1"/>
                        </w14:solidFill>
                      </w14:textFill>
                    </w:rPr>
                    <w:t>内应有动力通风装置、</w:t>
                  </w:r>
                  <w:r>
                    <w:rPr>
                      <w:rFonts w:hint="eastAsia"/>
                      <w:color w:val="000000" w:themeColor="text1"/>
                      <w:sz w:val="21"/>
                      <w:szCs w:val="21"/>
                      <w14:textFill>
                        <w14:solidFill>
                          <w14:schemeClr w14:val="tx1"/>
                        </w14:solidFill>
                      </w14:textFill>
                    </w:rPr>
                    <w:t>DSA手术室</w:t>
                  </w:r>
                  <w:r>
                    <w:rPr>
                      <w:color w:val="000000" w:themeColor="text1"/>
                      <w:sz w:val="21"/>
                      <w:szCs w:val="21"/>
                      <w14:textFill>
                        <w14:solidFill>
                          <w14:schemeClr w14:val="tx1"/>
                        </w14:solidFill>
                      </w14:textFill>
                    </w:rPr>
                    <w:t>应设有观察窗或摄像监控装置等、电动推拉门应设有红外防夹装置、平开门应设有自动闭门装置</w:t>
                  </w:r>
                  <w:r>
                    <w:rPr>
                      <w:rFonts w:hint="eastAsia"/>
                      <w:color w:val="000000" w:themeColor="text1"/>
                      <w:sz w:val="21"/>
                      <w:szCs w:val="21"/>
                      <w14:textFill>
                        <w14:solidFill>
                          <w14:schemeClr w14:val="tx1"/>
                        </w14:solidFill>
                      </w14:textFill>
                    </w:rPr>
                    <w:t>。</w:t>
                  </w:r>
                </w:p>
              </w:tc>
              <w:tc>
                <w:tcPr>
                  <w:tcW w:w="3413" w:type="dxa"/>
                  <w:shd w:val="clear" w:color="auto" w:fill="auto"/>
                  <w:vAlign w:val="center"/>
                </w:tcPr>
                <w:p>
                  <w:pPr>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防护门外有电离辐射警告标志、</w:t>
                  </w:r>
                  <w:r>
                    <w:rPr>
                      <w:rFonts w:hint="eastAsia"/>
                      <w:color w:val="000000" w:themeColor="text1"/>
                      <w:sz w:val="21"/>
                      <w:szCs w:val="21"/>
                      <w14:textFill>
                        <w14:solidFill>
                          <w14:schemeClr w14:val="tx1"/>
                        </w14:solidFill>
                      </w14:textFill>
                    </w:rPr>
                    <w:t>患者出入防护</w:t>
                  </w:r>
                  <w:r>
                    <w:rPr>
                      <w:color w:val="000000" w:themeColor="text1"/>
                      <w:sz w:val="21"/>
                      <w:szCs w:val="21"/>
                      <w14:textFill>
                        <w14:solidFill>
                          <w14:schemeClr w14:val="tx1"/>
                        </w14:solidFill>
                      </w14:textFill>
                    </w:rPr>
                    <w:t>门上方应有醒目的工作状态指示灯、灯箱上应设置“射线有害、灯亮勿入”的可视警示标志、应设有门灯联锁装置、候诊区设有放射防护注意事项告知栏</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警告无关人员不要靠近，保护人员免受不必要的辐射；</w:t>
                  </w:r>
                  <w:r>
                    <w:rPr>
                      <w:rFonts w:hint="eastAsia"/>
                      <w:color w:val="000000" w:themeColor="text1"/>
                      <w:sz w:val="21"/>
                      <w:szCs w:val="21"/>
                      <w14:textFill>
                        <w14:solidFill>
                          <w14:schemeClr w14:val="tx1"/>
                        </w14:solidFill>
                      </w14:textFill>
                    </w:rPr>
                    <w:t>DSA手术室</w:t>
                  </w:r>
                  <w:r>
                    <w:rPr>
                      <w:color w:val="000000" w:themeColor="text1"/>
                      <w:sz w:val="21"/>
                      <w:szCs w:val="21"/>
                      <w14:textFill>
                        <w14:solidFill>
                          <w14:schemeClr w14:val="tx1"/>
                        </w14:solidFill>
                      </w14:textFill>
                    </w:rPr>
                    <w:t>内有动力通风装置保持良好的通风</w:t>
                  </w:r>
                  <w:r>
                    <w:rPr>
                      <w:rFonts w:hint="eastAsia"/>
                      <w:color w:val="000000" w:themeColor="text1"/>
                      <w:sz w:val="21"/>
                      <w:szCs w:val="21"/>
                      <w14:textFill>
                        <w14:solidFill>
                          <w14:schemeClr w14:val="tx1"/>
                        </w14:solidFill>
                      </w14:textFill>
                    </w:rPr>
                    <w:t>；DSA手术室</w:t>
                  </w:r>
                  <w:r>
                    <w:rPr>
                      <w:color w:val="000000" w:themeColor="text1"/>
                      <w:sz w:val="21"/>
                      <w:szCs w:val="21"/>
                      <w14:textFill>
                        <w14:solidFill>
                          <w14:schemeClr w14:val="tx1"/>
                        </w14:solidFill>
                      </w14:textFill>
                    </w:rPr>
                    <w:t>设有观察窗或摄像监控装置等、电动推拉门应设有红外防夹装置、平开门设有自动闭门装置</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确保</w:t>
                  </w:r>
                  <w:r>
                    <w:rPr>
                      <w:rFonts w:hint="eastAsia"/>
                      <w:color w:val="000000" w:themeColor="text1"/>
                      <w:sz w:val="21"/>
                      <w:szCs w:val="21"/>
                      <w14:textFill>
                        <w14:solidFill>
                          <w14:schemeClr w14:val="tx1"/>
                        </w14:solidFill>
                      </w14:textFill>
                    </w:rPr>
                    <w:t>辐射</w:t>
                  </w:r>
                  <w:r>
                    <w:rPr>
                      <w:color w:val="000000" w:themeColor="text1"/>
                      <w:sz w:val="21"/>
                      <w:szCs w:val="21"/>
                      <w14:textFill>
                        <w14:solidFill>
                          <w14:schemeClr w14:val="tx1"/>
                        </w14:solidFill>
                      </w14:textFill>
                    </w:rPr>
                    <w:t>工作人员</w:t>
                  </w:r>
                  <w:r>
                    <w:rPr>
                      <w:rFonts w:hint="eastAsia"/>
                      <w:color w:val="000000" w:themeColor="text1"/>
                      <w:sz w:val="21"/>
                      <w:szCs w:val="21"/>
                      <w14:textFill>
                        <w14:solidFill>
                          <w14:schemeClr w14:val="tx1"/>
                        </w14:solidFill>
                      </w14:textFill>
                    </w:rPr>
                    <w:t>、患者</w:t>
                  </w:r>
                  <w:r>
                    <w:rPr>
                      <w:color w:val="000000" w:themeColor="text1"/>
                      <w:sz w:val="21"/>
                      <w:szCs w:val="21"/>
                      <w14:textFill>
                        <w14:solidFill>
                          <w14:schemeClr w14:val="tx1"/>
                        </w14:solidFill>
                      </w14:textFill>
                    </w:rPr>
                    <w:t>安全</w:t>
                  </w:r>
                  <w:r>
                    <w:rPr>
                      <w:rFonts w:hint="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720" w:type="dxa"/>
                  <w:shd w:val="clear" w:color="auto" w:fill="auto"/>
                  <w:vAlign w:val="center"/>
                </w:tcPr>
                <w:p>
                  <w:pPr>
                    <w:jc w:val="center"/>
                    <w:rPr>
                      <w:rFonts w:eastAsia="Times New Roman"/>
                      <w:sz w:val="21"/>
                      <w:szCs w:val="21"/>
                    </w:rPr>
                  </w:pPr>
                  <w:r>
                    <w:rPr>
                      <w:rFonts w:eastAsia="Times New Roman"/>
                      <w:sz w:val="21"/>
                      <w:szCs w:val="21"/>
                    </w:rPr>
                    <w:t>2</w:t>
                  </w:r>
                </w:p>
              </w:tc>
              <w:tc>
                <w:tcPr>
                  <w:tcW w:w="658" w:type="dxa"/>
                  <w:shd w:val="clear" w:color="auto" w:fill="auto"/>
                  <w:vAlign w:val="center"/>
                </w:tcPr>
                <w:p>
                  <w:pPr>
                    <w:jc w:val="center"/>
                    <w:rPr>
                      <w:rFonts w:ascii="宋体" w:hAnsi="宋体" w:cs="宋体"/>
                      <w:sz w:val="21"/>
                      <w:szCs w:val="21"/>
                    </w:rPr>
                  </w:pPr>
                  <w:r>
                    <w:rPr>
                      <w:rFonts w:ascii="宋体" w:hAnsi="宋体" w:cs="宋体"/>
                      <w:spacing w:val="-3"/>
                      <w:sz w:val="21"/>
                      <w:szCs w:val="21"/>
                    </w:rPr>
                    <w:t>辐射安全</w:t>
                  </w:r>
                  <w:r>
                    <w:rPr>
                      <w:rFonts w:ascii="宋体" w:hAnsi="宋体" w:cs="宋体"/>
                      <w:spacing w:val="-4"/>
                      <w:sz w:val="21"/>
                      <w:szCs w:val="21"/>
                    </w:rPr>
                    <w:t>管理机构</w:t>
                  </w:r>
                </w:p>
              </w:tc>
              <w:tc>
                <w:tcPr>
                  <w:tcW w:w="3735" w:type="dxa"/>
                  <w:shd w:val="clear" w:color="auto" w:fill="auto"/>
                  <w:vAlign w:val="center"/>
                </w:tcPr>
                <w:p>
                  <w:pPr>
                    <w:ind w:firstLine="420" w:firstLineChars="200"/>
                    <w:rPr>
                      <w:sz w:val="21"/>
                      <w:szCs w:val="21"/>
                    </w:rPr>
                  </w:pPr>
                  <w:r>
                    <w:rPr>
                      <w:sz w:val="21"/>
                      <w:szCs w:val="21"/>
                    </w:rPr>
                    <w:t>设立辐射安全管理机构并明确辐射管理专（兼）职人员和相关人员职责</w:t>
                  </w:r>
                  <w:r>
                    <w:rPr>
                      <w:rFonts w:hint="eastAsia"/>
                      <w:sz w:val="21"/>
                      <w:szCs w:val="21"/>
                    </w:rPr>
                    <w:t>。</w:t>
                  </w:r>
                </w:p>
              </w:tc>
              <w:tc>
                <w:tcPr>
                  <w:tcW w:w="3413" w:type="dxa"/>
                  <w:shd w:val="clear" w:color="auto" w:fill="auto"/>
                  <w:vAlign w:val="center"/>
                </w:tcPr>
                <w:p>
                  <w:pPr>
                    <w:ind w:firstLine="420" w:firstLineChars="200"/>
                    <w:rPr>
                      <w:sz w:val="21"/>
                      <w:szCs w:val="21"/>
                    </w:rPr>
                  </w:pPr>
                  <w:r>
                    <w:rPr>
                      <w:sz w:val="21"/>
                      <w:szCs w:val="21"/>
                    </w:rPr>
                    <w:t>设立辐射安全管理机构并明确辐射管理专（兼）职人员和相关人员职责</w:t>
                  </w:r>
                  <w:r>
                    <w:rPr>
                      <w:rFonts w:hint="eastAsia"/>
                      <w:sz w:val="21"/>
                      <w:szCs w:val="21"/>
                    </w:rPr>
                    <w:t>，</w:t>
                  </w:r>
                  <w:r>
                    <w:rPr>
                      <w:sz w:val="21"/>
                      <w:szCs w:val="21"/>
                    </w:rPr>
                    <w:t>负责整个项目辐射安全与环境管理工作</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720" w:type="dxa"/>
                  <w:vMerge w:val="restart"/>
                  <w:shd w:val="clear" w:color="auto" w:fill="auto"/>
                  <w:vAlign w:val="center"/>
                </w:tcPr>
                <w:p>
                  <w:pPr>
                    <w:spacing w:before="61"/>
                    <w:jc w:val="center"/>
                    <w:rPr>
                      <w:rFonts w:eastAsia="Times New Roman"/>
                      <w:sz w:val="21"/>
                      <w:szCs w:val="21"/>
                    </w:rPr>
                  </w:pPr>
                  <w:r>
                    <w:rPr>
                      <w:rFonts w:eastAsia="Times New Roman"/>
                      <w:sz w:val="21"/>
                      <w:szCs w:val="21"/>
                    </w:rPr>
                    <w:t>3</w:t>
                  </w:r>
                </w:p>
              </w:tc>
              <w:tc>
                <w:tcPr>
                  <w:tcW w:w="658" w:type="dxa"/>
                  <w:vMerge w:val="restart"/>
                  <w:shd w:val="clear" w:color="auto" w:fill="auto"/>
                  <w:vAlign w:val="center"/>
                </w:tcPr>
                <w:p>
                  <w:pPr>
                    <w:spacing w:before="68"/>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pacing w:val="-3"/>
                      <w:sz w:val="21"/>
                      <w:szCs w:val="21"/>
                      <w14:textFill>
                        <w14:solidFill>
                          <w14:schemeClr w14:val="tx1"/>
                        </w14:solidFill>
                      </w14:textFill>
                    </w:rPr>
                    <w:t>人员管理</w:t>
                  </w:r>
                </w:p>
              </w:tc>
              <w:tc>
                <w:tcPr>
                  <w:tcW w:w="3735" w:type="dxa"/>
                  <w:shd w:val="clear" w:color="auto" w:fill="auto"/>
                  <w:vAlign w:val="center"/>
                </w:tcPr>
                <w:p>
                  <w:pPr>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检查放射工作人员职业健康档案，疑似放射性疾病人员的调查、复检及处置结果</w:t>
                  </w:r>
                  <w:r>
                    <w:rPr>
                      <w:rFonts w:hint="eastAsia"/>
                      <w:color w:val="000000" w:themeColor="text1"/>
                      <w:sz w:val="21"/>
                      <w:szCs w:val="21"/>
                      <w14:textFill>
                        <w14:solidFill>
                          <w14:schemeClr w14:val="tx1"/>
                        </w14:solidFill>
                      </w14:textFill>
                    </w:rPr>
                    <w:t>。</w:t>
                  </w:r>
                </w:p>
              </w:tc>
              <w:tc>
                <w:tcPr>
                  <w:tcW w:w="3413" w:type="dxa"/>
                  <w:shd w:val="clear" w:color="auto" w:fill="auto"/>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职业健康监护档案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720" w:type="dxa"/>
                  <w:vMerge w:val="continue"/>
                  <w:shd w:val="clear" w:color="auto" w:fill="auto"/>
                  <w:vAlign w:val="center"/>
                </w:tcPr>
                <w:p>
                  <w:pPr>
                    <w:spacing w:before="286"/>
                    <w:jc w:val="center"/>
                    <w:rPr>
                      <w:rFonts w:eastAsia="Times New Roman"/>
                      <w:sz w:val="21"/>
                      <w:szCs w:val="21"/>
                    </w:rPr>
                  </w:pPr>
                </w:p>
              </w:tc>
              <w:tc>
                <w:tcPr>
                  <w:tcW w:w="658" w:type="dxa"/>
                  <w:vMerge w:val="continue"/>
                  <w:shd w:val="clear" w:color="auto" w:fill="auto"/>
                  <w:vAlign w:val="center"/>
                </w:tcPr>
                <w:p>
                  <w:pPr>
                    <w:spacing w:before="86"/>
                    <w:jc w:val="center"/>
                    <w:rPr>
                      <w:rFonts w:ascii="宋体" w:hAnsi="宋体" w:cs="宋体"/>
                      <w:color w:val="000000" w:themeColor="text1"/>
                      <w:spacing w:val="-3"/>
                      <w:sz w:val="21"/>
                      <w:szCs w:val="21"/>
                      <w14:textFill>
                        <w14:solidFill>
                          <w14:schemeClr w14:val="tx1"/>
                        </w14:solidFill>
                      </w14:textFill>
                    </w:rPr>
                  </w:pPr>
                </w:p>
              </w:tc>
              <w:tc>
                <w:tcPr>
                  <w:tcW w:w="3735" w:type="dxa"/>
                  <w:shd w:val="clear" w:color="auto" w:fill="auto"/>
                  <w:vAlign w:val="center"/>
                </w:tcPr>
                <w:p>
                  <w:pPr>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检查</w:t>
                  </w:r>
                  <w:r>
                    <w:rPr>
                      <w:rFonts w:hint="eastAsia"/>
                      <w:color w:val="000000" w:themeColor="text1"/>
                      <w:sz w:val="21"/>
                      <w:szCs w:val="21"/>
                      <w14:textFill>
                        <w14:solidFill>
                          <w14:schemeClr w14:val="tx1"/>
                        </w14:solidFill>
                      </w14:textFill>
                    </w:rPr>
                    <w:t>辐射工作人员</w:t>
                  </w:r>
                  <w:r>
                    <w:rPr>
                      <w:color w:val="000000" w:themeColor="text1"/>
                      <w:sz w:val="21"/>
                      <w:szCs w:val="21"/>
                      <w14:textFill>
                        <w14:solidFill>
                          <w14:schemeClr w14:val="tx1"/>
                        </w14:solidFill>
                      </w14:textFill>
                    </w:rPr>
                    <w:t>个人剂量档案是否完整、连续，个人剂量超标人员的调查、复检及处置结果</w:t>
                  </w:r>
                  <w:r>
                    <w:rPr>
                      <w:rFonts w:hint="eastAsia"/>
                      <w:color w:val="000000" w:themeColor="text1"/>
                      <w:sz w:val="21"/>
                      <w:szCs w:val="21"/>
                      <w14:textFill>
                        <w14:solidFill>
                          <w14:schemeClr w14:val="tx1"/>
                        </w14:solidFill>
                      </w14:textFill>
                    </w:rPr>
                    <w:t>。</w:t>
                  </w:r>
                </w:p>
              </w:tc>
              <w:tc>
                <w:tcPr>
                  <w:tcW w:w="3413" w:type="dxa"/>
                  <w:shd w:val="clear" w:color="auto" w:fill="auto"/>
                  <w:vAlign w:val="center"/>
                </w:tcPr>
                <w:p>
                  <w:pPr>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个人剂量档案</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本</w:t>
                  </w:r>
                  <w:r>
                    <w:rPr>
                      <w:color w:val="000000" w:themeColor="text1"/>
                      <w:sz w:val="21"/>
                      <w:szCs w:val="21"/>
                      <w14:textFill>
                        <w14:solidFill>
                          <w14:schemeClr w14:val="tx1"/>
                        </w14:solidFill>
                      </w14:textFill>
                    </w:rPr>
                    <w:t>项目年有效剂量管理目标值</w:t>
                  </w:r>
                  <w:r>
                    <w:rPr>
                      <w:rFonts w:hint="eastAsia"/>
                      <w:color w:val="000000" w:themeColor="text1"/>
                      <w:sz w:val="21"/>
                      <w:szCs w:val="21"/>
                      <w14:textFill>
                        <w14:solidFill>
                          <w14:schemeClr w14:val="tx1"/>
                        </w14:solidFill>
                      </w14:textFill>
                    </w:rPr>
                    <w:t>辐射</w:t>
                  </w:r>
                  <w:r>
                    <w:rPr>
                      <w:color w:val="000000" w:themeColor="text1"/>
                      <w:sz w:val="21"/>
                      <w:szCs w:val="21"/>
                      <w14:textFill>
                        <w14:solidFill>
                          <w14:schemeClr w14:val="tx1"/>
                        </w14:solidFill>
                      </w14:textFill>
                    </w:rPr>
                    <w:t>工作人员5mSv，公众人员0.1mSv</w:t>
                  </w:r>
                  <w:r>
                    <w:rPr>
                      <w:rFonts w:hint="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20" w:type="dxa"/>
                  <w:vMerge w:val="continue"/>
                  <w:shd w:val="clear" w:color="auto" w:fill="auto"/>
                  <w:vAlign w:val="center"/>
                </w:tcPr>
                <w:p>
                  <w:pPr>
                    <w:spacing w:before="286"/>
                    <w:jc w:val="center"/>
                    <w:rPr>
                      <w:rFonts w:eastAsia="Times New Roman"/>
                      <w:sz w:val="21"/>
                      <w:szCs w:val="21"/>
                    </w:rPr>
                  </w:pPr>
                </w:p>
              </w:tc>
              <w:tc>
                <w:tcPr>
                  <w:tcW w:w="658" w:type="dxa"/>
                  <w:vMerge w:val="continue"/>
                  <w:shd w:val="clear" w:color="auto" w:fill="auto"/>
                  <w:vAlign w:val="center"/>
                </w:tcPr>
                <w:p>
                  <w:pPr>
                    <w:spacing w:before="86"/>
                    <w:jc w:val="center"/>
                    <w:rPr>
                      <w:rFonts w:ascii="宋体" w:hAnsi="宋体" w:cs="宋体"/>
                      <w:color w:val="000000" w:themeColor="text1"/>
                      <w:spacing w:val="-3"/>
                      <w:sz w:val="21"/>
                      <w:szCs w:val="21"/>
                      <w14:textFill>
                        <w14:solidFill>
                          <w14:schemeClr w14:val="tx1"/>
                        </w14:solidFill>
                      </w14:textFill>
                    </w:rPr>
                  </w:pPr>
                </w:p>
              </w:tc>
              <w:tc>
                <w:tcPr>
                  <w:tcW w:w="3735" w:type="dxa"/>
                  <w:shd w:val="clear" w:color="auto" w:fill="auto"/>
                  <w:vAlign w:val="center"/>
                </w:tcPr>
                <w:p>
                  <w:pPr>
                    <w:ind w:firstLine="420" w:firstLineChars="20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参加辐射安全和防护知识培训，考核合格方能上岗</w:t>
                  </w:r>
                  <w:r>
                    <w:rPr>
                      <w:rFonts w:hint="eastAsia"/>
                      <w:color w:val="000000" w:themeColor="text1"/>
                      <w:sz w:val="21"/>
                      <w:szCs w:val="21"/>
                      <w14:textFill>
                        <w14:solidFill>
                          <w14:schemeClr w14:val="tx1"/>
                        </w14:solidFill>
                      </w14:textFill>
                    </w:rPr>
                    <w:t>。</w:t>
                  </w:r>
                </w:p>
              </w:tc>
              <w:tc>
                <w:tcPr>
                  <w:tcW w:w="3413" w:type="dxa"/>
                  <w:shd w:val="clear" w:color="auto" w:fill="auto"/>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确保</w:t>
                  </w:r>
                  <w:r>
                    <w:rPr>
                      <w:rFonts w:hint="eastAsia"/>
                      <w:color w:val="000000" w:themeColor="text1"/>
                      <w:sz w:val="21"/>
                      <w:szCs w:val="21"/>
                      <w14:textFill>
                        <w14:solidFill>
                          <w14:schemeClr w14:val="tx1"/>
                        </w14:solidFill>
                      </w14:textFill>
                    </w:rPr>
                    <w:t>辐射</w:t>
                  </w:r>
                  <w:r>
                    <w:rPr>
                      <w:color w:val="000000" w:themeColor="text1"/>
                      <w:sz w:val="21"/>
                      <w:szCs w:val="21"/>
                      <w14:textFill>
                        <w14:solidFill>
                          <w14:schemeClr w14:val="tx1"/>
                        </w14:solidFill>
                      </w14:textFill>
                    </w:rPr>
                    <w:t>工作人员持证上岗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jc w:val="center"/>
              </w:trPr>
              <w:tc>
                <w:tcPr>
                  <w:tcW w:w="720" w:type="dxa"/>
                  <w:shd w:val="clear" w:color="auto" w:fill="auto"/>
                  <w:vAlign w:val="center"/>
                </w:tcPr>
                <w:p>
                  <w:pPr>
                    <w:spacing w:before="60"/>
                    <w:jc w:val="center"/>
                    <w:rPr>
                      <w:rFonts w:eastAsia="Times New Roman"/>
                      <w:sz w:val="21"/>
                      <w:szCs w:val="21"/>
                    </w:rPr>
                  </w:pPr>
                  <w:r>
                    <w:rPr>
                      <w:rFonts w:eastAsia="Times New Roman"/>
                      <w:sz w:val="21"/>
                      <w:szCs w:val="21"/>
                    </w:rPr>
                    <w:t>4</w:t>
                  </w:r>
                </w:p>
              </w:tc>
              <w:tc>
                <w:tcPr>
                  <w:tcW w:w="658" w:type="dxa"/>
                  <w:shd w:val="clear" w:color="auto" w:fill="auto"/>
                  <w:vAlign w:val="center"/>
                </w:tcPr>
                <w:p>
                  <w:pPr>
                    <w:spacing w:before="68"/>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防护用品及辅助用品</w:t>
                  </w:r>
                </w:p>
              </w:tc>
              <w:tc>
                <w:tcPr>
                  <w:tcW w:w="3735" w:type="dxa"/>
                  <w:shd w:val="clear" w:color="auto" w:fill="auto"/>
                  <w:vAlign w:val="center"/>
                </w:tcPr>
                <w:p>
                  <w:pPr>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为</w:t>
                  </w:r>
                  <w:r>
                    <w:rPr>
                      <w:rFonts w:hint="eastAsia"/>
                      <w:color w:val="000000" w:themeColor="text1"/>
                      <w:sz w:val="21"/>
                      <w:szCs w:val="21"/>
                      <w14:textFill>
                        <w14:solidFill>
                          <w14:schemeClr w14:val="tx1"/>
                        </w14:solidFill>
                      </w14:textFill>
                    </w:rPr>
                    <w:t>辐射工作人员</w:t>
                  </w:r>
                  <w:r>
                    <w:rPr>
                      <w:color w:val="000000" w:themeColor="text1"/>
                      <w:sz w:val="21"/>
                      <w:szCs w:val="21"/>
                      <w14:textFill>
                        <w14:solidFill>
                          <w14:schemeClr w14:val="tx1"/>
                        </w14:solidFill>
                      </w14:textFill>
                    </w:rPr>
                    <w:t>配备铅橡胶围裙、铅橡胶颈套、铅防护眼镜、介入手套、铅橡胶帽子。</w:t>
                  </w:r>
                  <w:r>
                    <w:rPr>
                      <w:rFonts w:hint="eastAsia"/>
                      <w:color w:val="000000" w:themeColor="text1"/>
                      <w:sz w:val="21"/>
                      <w:szCs w:val="21"/>
                      <w14:textFill>
                        <w14:solidFill>
                          <w14:schemeClr w14:val="tx1"/>
                        </w14:solidFill>
                      </w14:textFill>
                    </w:rPr>
                    <w:t>在DSA手术室</w:t>
                  </w:r>
                  <w:r>
                    <w:rPr>
                      <w:color w:val="000000" w:themeColor="text1"/>
                      <w:sz w:val="21"/>
                      <w:szCs w:val="21"/>
                      <w14:textFill>
                        <w14:solidFill>
                          <w14:schemeClr w14:val="tx1"/>
                        </w14:solidFill>
                      </w14:textFill>
                    </w:rPr>
                    <w:t>内配备铅悬挂防护屏/铅防护吊帘、床侧防护帘/床侧防护屏等辅助防护设施。为患者配备铅橡胶性腺防护围裙（方形）或方巾、铅橡胶颈套、铅橡胶帽子等防护用品</w:t>
                  </w:r>
                  <w:r>
                    <w:rPr>
                      <w:rFonts w:hint="eastAsia"/>
                      <w:color w:val="000000" w:themeColor="text1"/>
                      <w:sz w:val="21"/>
                      <w:szCs w:val="21"/>
                      <w14:textFill>
                        <w14:solidFill>
                          <w14:schemeClr w14:val="tx1"/>
                        </w14:solidFill>
                      </w14:textFill>
                    </w:rPr>
                    <w:t>。</w:t>
                  </w:r>
                </w:p>
              </w:tc>
              <w:tc>
                <w:tcPr>
                  <w:tcW w:w="3413" w:type="dxa"/>
                  <w:shd w:val="clear" w:color="auto" w:fill="auto"/>
                  <w:vAlign w:val="center"/>
                </w:tcPr>
                <w:p>
                  <w:pPr>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辐射工作人员</w:t>
                  </w:r>
                  <w:r>
                    <w:rPr>
                      <w:color w:val="000000" w:themeColor="text1"/>
                      <w:sz w:val="21"/>
                      <w:szCs w:val="21"/>
                      <w14:textFill>
                        <w14:solidFill>
                          <w14:schemeClr w14:val="tx1"/>
                        </w14:solidFill>
                      </w14:textFill>
                    </w:rPr>
                    <w:t>及受检者防护用品与辅助防护设施的数量应满足开展工作需要，保证</w:t>
                  </w:r>
                  <w:r>
                    <w:rPr>
                      <w:rFonts w:hint="eastAsia"/>
                      <w:color w:val="000000" w:themeColor="text1"/>
                      <w:sz w:val="21"/>
                      <w:szCs w:val="21"/>
                      <w14:textFill>
                        <w14:solidFill>
                          <w14:schemeClr w14:val="tx1"/>
                        </w14:solidFill>
                      </w14:textFill>
                    </w:rPr>
                    <w:t>辐射</w:t>
                  </w:r>
                  <w:r>
                    <w:rPr>
                      <w:color w:val="000000" w:themeColor="text1"/>
                      <w:sz w:val="21"/>
                      <w:szCs w:val="21"/>
                      <w14:textFill>
                        <w14:solidFill>
                          <w14:schemeClr w14:val="tx1"/>
                        </w14:solidFill>
                      </w14:textFill>
                    </w:rPr>
                    <w:t>工作人员及公众安全</w:t>
                  </w:r>
                  <w:r>
                    <w:rPr>
                      <w:rFonts w:hint="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20" w:type="dxa"/>
                  <w:vMerge w:val="restart"/>
                  <w:shd w:val="clear" w:color="auto" w:fill="auto"/>
                  <w:vAlign w:val="center"/>
                </w:tcPr>
                <w:p>
                  <w:pPr>
                    <w:spacing w:before="60"/>
                    <w:jc w:val="center"/>
                    <w:rPr>
                      <w:rFonts w:eastAsia="Times New Roman"/>
                      <w:sz w:val="21"/>
                      <w:szCs w:val="21"/>
                    </w:rPr>
                  </w:pPr>
                  <w:r>
                    <w:rPr>
                      <w:rFonts w:eastAsia="Times New Roman"/>
                      <w:sz w:val="21"/>
                      <w:szCs w:val="21"/>
                    </w:rPr>
                    <w:t>5</w:t>
                  </w:r>
                </w:p>
              </w:tc>
              <w:tc>
                <w:tcPr>
                  <w:tcW w:w="658" w:type="dxa"/>
                  <w:vMerge w:val="restart"/>
                  <w:shd w:val="clear" w:color="auto" w:fill="auto"/>
                  <w:vAlign w:val="center"/>
                </w:tcPr>
                <w:p>
                  <w:pPr>
                    <w:spacing w:before="68"/>
                    <w:jc w:val="center"/>
                    <w:rPr>
                      <w:rFonts w:ascii="宋体" w:hAnsi="宋体" w:cs="宋体"/>
                      <w:sz w:val="21"/>
                      <w:szCs w:val="21"/>
                    </w:rPr>
                  </w:pPr>
                  <w:r>
                    <w:rPr>
                      <w:rFonts w:ascii="宋体" w:hAnsi="宋体" w:cs="宋体"/>
                      <w:spacing w:val="-3"/>
                      <w:sz w:val="21"/>
                      <w:szCs w:val="21"/>
                    </w:rPr>
                    <w:t>监测仪器</w:t>
                  </w:r>
                </w:p>
              </w:tc>
              <w:tc>
                <w:tcPr>
                  <w:tcW w:w="3735" w:type="dxa"/>
                  <w:shd w:val="clear" w:color="auto" w:fill="auto"/>
                  <w:vAlign w:val="center"/>
                </w:tcPr>
                <w:p>
                  <w:pPr>
                    <w:jc w:val="center"/>
                    <w:rPr>
                      <w:sz w:val="21"/>
                      <w:szCs w:val="21"/>
                    </w:rPr>
                  </w:pPr>
                  <w:r>
                    <w:rPr>
                      <w:sz w:val="21"/>
                      <w:szCs w:val="21"/>
                    </w:rPr>
                    <w:t>配备1台X-γ辐射剂量率监测仪</w:t>
                  </w:r>
                </w:p>
              </w:tc>
              <w:tc>
                <w:tcPr>
                  <w:tcW w:w="3413" w:type="dxa"/>
                  <w:shd w:val="clear" w:color="auto" w:fill="auto"/>
                  <w:vAlign w:val="center"/>
                </w:tcPr>
                <w:p>
                  <w:pPr>
                    <w:ind w:firstLine="420" w:firstLineChars="200"/>
                    <w:rPr>
                      <w:sz w:val="21"/>
                      <w:szCs w:val="21"/>
                    </w:rPr>
                  </w:pPr>
                  <w:r>
                    <w:rPr>
                      <w:sz w:val="21"/>
                      <w:szCs w:val="21"/>
                    </w:rPr>
                    <w:t>定期对辐射工作场所及周围环境进行巡测</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jc w:val="center"/>
              </w:trPr>
              <w:tc>
                <w:tcPr>
                  <w:tcW w:w="720" w:type="dxa"/>
                  <w:vMerge w:val="continue"/>
                  <w:shd w:val="clear" w:color="auto" w:fill="auto"/>
                  <w:vAlign w:val="center"/>
                </w:tcPr>
                <w:p>
                  <w:pPr>
                    <w:spacing w:before="286"/>
                    <w:jc w:val="center"/>
                    <w:rPr>
                      <w:rFonts w:eastAsia="Times New Roman"/>
                      <w:sz w:val="21"/>
                      <w:szCs w:val="21"/>
                    </w:rPr>
                  </w:pPr>
                </w:p>
              </w:tc>
              <w:tc>
                <w:tcPr>
                  <w:tcW w:w="658" w:type="dxa"/>
                  <w:vMerge w:val="continue"/>
                  <w:shd w:val="clear" w:color="auto" w:fill="auto"/>
                  <w:vAlign w:val="center"/>
                </w:tcPr>
                <w:p>
                  <w:pPr>
                    <w:spacing w:before="86"/>
                    <w:jc w:val="center"/>
                    <w:rPr>
                      <w:rFonts w:ascii="宋体" w:hAnsi="宋体" w:cs="宋体"/>
                      <w:spacing w:val="-3"/>
                      <w:sz w:val="21"/>
                      <w:szCs w:val="21"/>
                    </w:rPr>
                  </w:pPr>
                </w:p>
              </w:tc>
              <w:tc>
                <w:tcPr>
                  <w:tcW w:w="3735" w:type="dxa"/>
                  <w:shd w:val="clear" w:color="auto" w:fill="auto"/>
                  <w:vAlign w:val="center"/>
                </w:tcPr>
                <w:p>
                  <w:pPr>
                    <w:jc w:val="center"/>
                    <w:rPr>
                      <w:sz w:val="21"/>
                      <w:szCs w:val="21"/>
                    </w:rPr>
                  </w:pPr>
                  <w:r>
                    <w:rPr>
                      <w:sz w:val="21"/>
                      <w:szCs w:val="21"/>
                    </w:rPr>
                    <w:t>个人剂量计</w:t>
                  </w:r>
                </w:p>
              </w:tc>
              <w:tc>
                <w:tcPr>
                  <w:tcW w:w="3413" w:type="dxa"/>
                  <w:shd w:val="clear" w:color="auto" w:fill="auto"/>
                  <w:vAlign w:val="center"/>
                </w:tcPr>
                <w:p>
                  <w:pPr>
                    <w:ind w:firstLine="420" w:firstLineChars="200"/>
                    <w:rPr>
                      <w:sz w:val="21"/>
                      <w:szCs w:val="21"/>
                    </w:rPr>
                  </w:pPr>
                  <w:r>
                    <w:rPr>
                      <w:sz w:val="21"/>
                      <w:szCs w:val="21"/>
                    </w:rPr>
                    <w:t>配备与工作人员数量匹配的个人剂量计（介入手术医护人员铅衣内外各配1个）</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3" w:hRule="atLeast"/>
                <w:jc w:val="center"/>
              </w:trPr>
              <w:tc>
                <w:tcPr>
                  <w:tcW w:w="720" w:type="dxa"/>
                  <w:shd w:val="clear" w:color="auto" w:fill="auto"/>
                  <w:vAlign w:val="center"/>
                </w:tcPr>
                <w:p>
                  <w:pPr>
                    <w:spacing w:before="61"/>
                    <w:jc w:val="center"/>
                    <w:rPr>
                      <w:rFonts w:eastAsia="Times New Roman"/>
                      <w:sz w:val="21"/>
                      <w:szCs w:val="21"/>
                    </w:rPr>
                  </w:pPr>
                  <w:r>
                    <w:rPr>
                      <w:rFonts w:eastAsia="Times New Roman"/>
                      <w:sz w:val="21"/>
                      <w:szCs w:val="21"/>
                    </w:rPr>
                    <w:t>6</w:t>
                  </w:r>
                </w:p>
              </w:tc>
              <w:tc>
                <w:tcPr>
                  <w:tcW w:w="658" w:type="dxa"/>
                  <w:shd w:val="clear" w:color="auto" w:fill="auto"/>
                  <w:vAlign w:val="center"/>
                </w:tcPr>
                <w:p>
                  <w:pPr>
                    <w:spacing w:before="68"/>
                    <w:jc w:val="center"/>
                    <w:rPr>
                      <w:rFonts w:ascii="宋体" w:hAnsi="宋体" w:cs="宋体"/>
                      <w:sz w:val="21"/>
                      <w:szCs w:val="21"/>
                    </w:rPr>
                  </w:pPr>
                  <w:r>
                    <w:rPr>
                      <w:rFonts w:ascii="宋体" w:hAnsi="宋体" w:cs="宋体"/>
                      <w:spacing w:val="-3"/>
                      <w:sz w:val="21"/>
                      <w:szCs w:val="21"/>
                    </w:rPr>
                    <w:t>辐射环境</w:t>
                  </w:r>
                  <w:r>
                    <w:rPr>
                      <w:rFonts w:ascii="宋体" w:hAnsi="宋体" w:cs="宋体"/>
                      <w:spacing w:val="-8"/>
                      <w:sz w:val="21"/>
                      <w:szCs w:val="21"/>
                    </w:rPr>
                    <w:t>管理</w:t>
                  </w:r>
                </w:p>
              </w:tc>
              <w:tc>
                <w:tcPr>
                  <w:tcW w:w="3735" w:type="dxa"/>
                  <w:shd w:val="clear" w:color="auto" w:fill="auto"/>
                  <w:vAlign w:val="center"/>
                </w:tcPr>
                <w:p>
                  <w:pPr>
                    <w:ind w:firstLine="420" w:firstLineChars="200"/>
                    <w:rPr>
                      <w:sz w:val="21"/>
                      <w:szCs w:val="21"/>
                    </w:rPr>
                  </w:pPr>
                  <w:r>
                    <w:rPr>
                      <w:sz w:val="21"/>
                      <w:szCs w:val="21"/>
                    </w:rPr>
                    <w:t>辐射事故应急预案、射线装置管理制度、工作人员岗位职责、辐射工作人员培训管理制度、辐射工作人员剂量管理制度、辐射安全设施维护与维修制度、辐射环境监测制度、环境监测设备使用与检定管理制度、全国核技术利用辐射安全申报系统运行管理制度、DSA操作规程、DSA工作人员岗位职责</w:t>
                  </w:r>
                  <w:r>
                    <w:rPr>
                      <w:rFonts w:hint="eastAsia"/>
                      <w:sz w:val="21"/>
                      <w:szCs w:val="21"/>
                    </w:rPr>
                    <w:t>。</w:t>
                  </w:r>
                </w:p>
              </w:tc>
              <w:tc>
                <w:tcPr>
                  <w:tcW w:w="3413" w:type="dxa"/>
                  <w:shd w:val="clear" w:color="auto" w:fill="auto"/>
                  <w:vAlign w:val="center"/>
                </w:tcPr>
                <w:p>
                  <w:pPr>
                    <w:ind w:firstLine="420" w:firstLineChars="200"/>
                    <w:rPr>
                      <w:sz w:val="21"/>
                      <w:szCs w:val="21"/>
                    </w:rPr>
                  </w:pPr>
                  <w:r>
                    <w:rPr>
                      <w:rFonts w:hint="eastAsia"/>
                      <w:sz w:val="21"/>
                      <w:szCs w:val="21"/>
                    </w:rPr>
                    <w:t>不断完善更新</w:t>
                  </w:r>
                  <w:r>
                    <w:rPr>
                      <w:sz w:val="21"/>
                      <w:szCs w:val="21"/>
                    </w:rPr>
                    <w:t>辐射安全管理制度</w:t>
                  </w:r>
                  <w:r>
                    <w:rPr>
                      <w:rFonts w:hint="eastAsia"/>
                      <w:sz w:val="21"/>
                      <w:szCs w:val="21"/>
                    </w:rPr>
                    <w:t>，并做到“制度上墙”，</w:t>
                  </w:r>
                  <w:r>
                    <w:rPr>
                      <w:sz w:val="21"/>
                      <w:szCs w:val="21"/>
                    </w:rPr>
                    <w:t>确保辐射环境管理制度贯彻落实，保障人员安全</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shd w:val="clear" w:color="auto" w:fill="auto"/>
                  <w:vAlign w:val="center"/>
                </w:tcPr>
                <w:p>
                  <w:pPr>
                    <w:spacing w:before="61"/>
                    <w:jc w:val="center"/>
                    <w:rPr>
                      <w:rFonts w:eastAsiaTheme="minorEastAsia"/>
                      <w:sz w:val="21"/>
                      <w:szCs w:val="21"/>
                    </w:rPr>
                  </w:pPr>
                  <w:r>
                    <w:rPr>
                      <w:rFonts w:hint="eastAsia" w:eastAsia="Times New Roman"/>
                      <w:sz w:val="21"/>
                      <w:szCs w:val="21"/>
                    </w:rPr>
                    <w:t>7</w:t>
                  </w:r>
                </w:p>
              </w:tc>
              <w:tc>
                <w:tcPr>
                  <w:tcW w:w="658" w:type="dxa"/>
                  <w:shd w:val="clear" w:color="auto" w:fill="auto"/>
                  <w:vAlign w:val="center"/>
                </w:tcPr>
                <w:p>
                  <w:pPr>
                    <w:jc w:val="center"/>
                    <w:rPr>
                      <w:rFonts w:ascii="宋体"/>
                      <w:sz w:val="21"/>
                      <w:szCs w:val="21"/>
                    </w:rPr>
                  </w:pPr>
                  <w:r>
                    <w:rPr>
                      <w:rFonts w:ascii="宋体" w:hAnsi="宋体" w:cs="宋体"/>
                      <w:spacing w:val="-4"/>
                      <w:sz w:val="21"/>
                      <w:szCs w:val="21"/>
                    </w:rPr>
                    <w:t>剂量率</w:t>
                  </w:r>
                  <w:r>
                    <w:rPr>
                      <w:rFonts w:ascii="宋体" w:hAnsi="宋体" w:cs="宋体"/>
                      <w:spacing w:val="-7"/>
                      <w:sz w:val="21"/>
                      <w:szCs w:val="21"/>
                    </w:rPr>
                    <w:t>限值要求</w:t>
                  </w:r>
                </w:p>
              </w:tc>
              <w:tc>
                <w:tcPr>
                  <w:tcW w:w="3735" w:type="dxa"/>
                  <w:shd w:val="clear" w:color="auto" w:fill="auto"/>
                  <w:vAlign w:val="center"/>
                </w:tcPr>
                <w:p>
                  <w:pPr>
                    <w:ind w:firstLine="420" w:firstLineChars="200"/>
                    <w:rPr>
                      <w:sz w:val="21"/>
                      <w:szCs w:val="21"/>
                    </w:rPr>
                  </w:pPr>
                  <w:r>
                    <w:rPr>
                      <w:sz w:val="21"/>
                      <w:szCs w:val="21"/>
                    </w:rPr>
                    <w:t>按透视条件，</w:t>
                  </w:r>
                  <w:r>
                    <w:rPr>
                      <w:rFonts w:hint="eastAsia"/>
                      <w:sz w:val="21"/>
                      <w:szCs w:val="21"/>
                    </w:rPr>
                    <w:t>在</w:t>
                  </w:r>
                  <w:r>
                    <w:rPr>
                      <w:sz w:val="21"/>
                      <w:szCs w:val="21"/>
                    </w:rPr>
                    <w:t>介入手术室屏蔽体外进行防护检测</w:t>
                  </w:r>
                  <w:r>
                    <w:rPr>
                      <w:rFonts w:hint="eastAsia"/>
                      <w:sz w:val="21"/>
                      <w:szCs w:val="21"/>
                    </w:rPr>
                    <w:t>，</w:t>
                  </w:r>
                  <w:r>
                    <w:rPr>
                      <w:sz w:val="21"/>
                      <w:szCs w:val="21"/>
                    </w:rPr>
                    <w:t>术者位进行剂量监测</w:t>
                  </w:r>
                  <w:r>
                    <w:rPr>
                      <w:rFonts w:hint="eastAsia"/>
                      <w:sz w:val="21"/>
                      <w:szCs w:val="21"/>
                    </w:rPr>
                    <w:t>。</w:t>
                  </w:r>
                </w:p>
              </w:tc>
              <w:tc>
                <w:tcPr>
                  <w:tcW w:w="3413" w:type="dxa"/>
                  <w:shd w:val="clear" w:color="auto" w:fill="auto"/>
                  <w:vAlign w:val="center"/>
                </w:tcPr>
                <w:p>
                  <w:pPr>
                    <w:ind w:firstLine="420" w:firstLineChars="200"/>
                    <w:rPr>
                      <w:sz w:val="21"/>
                      <w:szCs w:val="21"/>
                    </w:rPr>
                  </w:pPr>
                  <w:r>
                    <w:rPr>
                      <w:sz w:val="21"/>
                      <w:szCs w:val="21"/>
                    </w:rPr>
                    <w:t>满足《放射诊断放射防护要求》（GBZ130-2020）中规定的屏蔽体外表面30cm处剂量率不大于2.5μSv/h的标准限值。术者位满足《医用X射线诊断设备质量控制检测》（WS76-2020）透视防护区检测平面上不大于400μGy/h的要求。</w:t>
                  </w:r>
                </w:p>
              </w:tc>
            </w:tr>
          </w:tbl>
          <w:p/>
          <w:p>
            <w:pPr>
              <w:pStyle w:val="2"/>
              <w:ind w:firstLine="480"/>
            </w:pPr>
          </w:p>
          <w:p>
            <w:pPr>
              <w:pStyle w:val="2"/>
              <w:ind w:firstLine="480"/>
              <w:rPr>
                <w:rFonts w:eastAsiaTheme="minorEastAsia"/>
              </w:rPr>
            </w:pPr>
          </w:p>
          <w:p>
            <w:pPr>
              <w:pStyle w:val="2"/>
              <w:ind w:firstLine="480"/>
              <w:rPr>
                <w:rFonts w:eastAsiaTheme="minorEastAsia"/>
              </w:rPr>
            </w:pPr>
          </w:p>
          <w:p>
            <w:pPr>
              <w:pStyle w:val="2"/>
              <w:ind w:firstLine="480"/>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pPr>
              <w:pStyle w:val="2"/>
              <w:ind w:firstLine="480"/>
              <w:rPr>
                <w:rFonts w:eastAsiaTheme="minorEastAsia"/>
              </w:rPr>
            </w:pPr>
          </w:p>
          <w:p/>
        </w:tc>
      </w:tr>
    </w:tbl>
    <w:p>
      <w:pPr>
        <w:pStyle w:val="3"/>
        <w:rPr>
          <w:color w:val="000000"/>
          <w:sz w:val="28"/>
          <w:szCs w:val="28"/>
        </w:rPr>
      </w:pPr>
      <w:r>
        <w:rPr>
          <w:color w:val="000000"/>
          <w:sz w:val="28"/>
          <w:szCs w:val="28"/>
        </w:rPr>
        <w:br w:type="page"/>
      </w:r>
      <w:bookmarkStart w:id="36" w:name="_Toc14894"/>
      <w:r>
        <w:rPr>
          <w:color w:val="000000"/>
          <w:sz w:val="28"/>
          <w:szCs w:val="28"/>
        </w:rPr>
        <w:t>表13 结论与建议</w:t>
      </w:r>
      <w:bookmarkEnd w:id="34"/>
      <w:bookmarkEnd w:id="36"/>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31" w:type="dxa"/>
          </w:tcPr>
          <w:p>
            <w:pPr>
              <w:spacing w:line="360" w:lineRule="auto"/>
              <w:jc w:val="left"/>
              <w:rPr>
                <w:b/>
                <w:kern w:val="0"/>
                <w:sz w:val="28"/>
                <w:szCs w:val="28"/>
              </w:rPr>
            </w:pPr>
            <w:r>
              <w:rPr>
                <w:rFonts w:hint="eastAsia"/>
                <w:b/>
                <w:kern w:val="0"/>
                <w:sz w:val="28"/>
                <w:szCs w:val="28"/>
              </w:rPr>
              <w:t>13.1结论</w:t>
            </w:r>
          </w:p>
          <w:p>
            <w:pPr>
              <w:widowControl/>
              <w:spacing w:line="360" w:lineRule="auto"/>
              <w:ind w:firstLine="470" w:firstLineChars="200"/>
              <w:jc w:val="left"/>
              <w:rPr>
                <w:b/>
                <w:spacing w:val="-3"/>
                <w:kern w:val="0"/>
              </w:rPr>
            </w:pPr>
            <w:r>
              <w:rPr>
                <w:b/>
                <w:spacing w:val="-3"/>
                <w:kern w:val="0"/>
              </w:rPr>
              <w:t>13.1.1项目</w:t>
            </w:r>
            <w:r>
              <w:rPr>
                <w:rFonts w:hint="eastAsia"/>
                <w:b/>
                <w:spacing w:val="-3"/>
                <w:kern w:val="0"/>
              </w:rPr>
              <w:t>概况</w:t>
            </w:r>
          </w:p>
          <w:p>
            <w:pPr>
              <w:spacing w:line="360" w:lineRule="auto"/>
              <w:ind w:firstLine="480" w:firstLineChars="200"/>
            </w:pPr>
            <w:r>
              <w:rPr>
                <w:rFonts w:hint="eastAsia"/>
              </w:rPr>
              <w:t>为完善医院医疗服务条件，促进医院各学科发展，提高医院的医疗水平，推动医院整体发展，更好地为患者服务，通用环球中铁西安医院拟对医院拟对住院楼一层部分用房进行改造，建设DSA手术室，配套建设操作间、缓冲间、设备间、更衣室等相关辅助用房，并在建设完成后的DSA手术室内（原为观察室）新增1台数字减影血管造影机（DSA）用于介入诊断及辅助治疗。</w:t>
            </w:r>
            <w:r>
              <w:rPr>
                <w:rFonts w:hint="eastAsia"/>
                <w:color w:val="000000" w:themeColor="text1"/>
                <w14:textFill>
                  <w14:solidFill>
                    <w14:schemeClr w14:val="tx1"/>
                  </w14:solidFill>
                </w14:textFill>
              </w:rPr>
              <w:t>数字减影血管造影机（DSA）对提高医院治疗水平具有重大意义，在保障病人健康的</w:t>
            </w:r>
            <w:r>
              <w:rPr>
                <w:rFonts w:hint="eastAsia"/>
              </w:rPr>
              <w:t>同时也能创造更大的经济效益，大于放射诊疗时产生的辐射影响，符合《电离辐射防护与辐射源安全基本标准》（GB18871-2002）辐射防护要求的“实践的正当性”要求和《放射诊断和放射防护要求》（G</w:t>
            </w:r>
            <w:r>
              <w:t>BZ130-2020</w:t>
            </w:r>
            <w:r>
              <w:rPr>
                <w:rFonts w:hint="eastAsia"/>
              </w:rPr>
              <w:t>）的“正当性要求”。通用环球中铁西安医院对本项目D</w:t>
            </w:r>
            <w:r>
              <w:t>SA</w:t>
            </w:r>
            <w:r>
              <w:rPr>
                <w:rFonts w:hint="eastAsia"/>
              </w:rPr>
              <w:t>手术室采取了一些有效的辐射安全设施和管理措施后，充分落实环评提出的要求的前提下，该项目可使其对环境的辐射影响降到合理尽可能低的水平，满足《放射诊断和放射防护要求》（GBZ130-2020）的“防护最优化”要求。</w:t>
            </w:r>
          </w:p>
          <w:p>
            <w:pPr>
              <w:widowControl/>
              <w:spacing w:line="360" w:lineRule="auto"/>
              <w:ind w:firstLine="470" w:firstLineChars="200"/>
              <w:jc w:val="left"/>
              <w:rPr>
                <w:b/>
                <w:spacing w:val="-3"/>
                <w:kern w:val="0"/>
              </w:rPr>
            </w:pPr>
            <w:r>
              <w:rPr>
                <w:rFonts w:hint="eastAsia"/>
                <w:b/>
                <w:spacing w:val="-3"/>
                <w:kern w:val="0"/>
              </w:rPr>
              <w:t>13.1.2选址及平面布置合理性分析</w:t>
            </w:r>
          </w:p>
          <w:p>
            <w:pPr>
              <w:spacing w:line="360" w:lineRule="auto"/>
              <w:ind w:firstLine="480" w:firstLineChars="200"/>
            </w:pPr>
            <w:r>
              <w:rPr>
                <w:rFonts w:hint="eastAsia"/>
              </w:rPr>
              <w:t>本项目的DSA手术室位于医院住院部一层西侧，DSA手术室屏蔽设计满足《放射诊断放射防护要求》（GBZ130-2020）相关要求，且本项目辐射工作场所位于住院部一层，避开了人群较为集中的门诊区域，平时只有医护人员以及患者到达因此，在采用良好的屏蔽措施后，项目运行后对周围环境影响较小。</w:t>
            </w:r>
          </w:p>
          <w:p>
            <w:pPr>
              <w:widowControl/>
              <w:spacing w:line="360" w:lineRule="auto"/>
              <w:ind w:firstLine="470" w:firstLineChars="200"/>
              <w:rPr>
                <w:b/>
                <w:spacing w:val="-3"/>
                <w:kern w:val="0"/>
              </w:rPr>
            </w:pPr>
            <w:r>
              <w:rPr>
                <w:rFonts w:hint="eastAsia"/>
                <w:b/>
                <w:spacing w:val="-3"/>
                <w:kern w:val="0"/>
              </w:rPr>
              <w:t>13.1.</w:t>
            </w:r>
            <w:r>
              <w:rPr>
                <w:b/>
                <w:spacing w:val="-3"/>
                <w:kern w:val="0"/>
              </w:rPr>
              <w:t>3</w:t>
            </w:r>
            <w:r>
              <w:rPr>
                <w:rFonts w:hint="eastAsia"/>
                <w:b/>
                <w:spacing w:val="-3"/>
                <w:kern w:val="0"/>
              </w:rPr>
              <w:t>环境质量现状</w:t>
            </w:r>
          </w:p>
          <w:p>
            <w:pPr>
              <w:widowControl/>
              <w:spacing w:line="360" w:lineRule="auto"/>
              <w:ind w:firstLine="480" w:firstLineChars="200"/>
              <w:rPr>
                <w:b/>
                <w:spacing w:val="-3"/>
                <w:kern w:val="0"/>
              </w:rPr>
            </w:pPr>
            <w:r>
              <w:rPr>
                <w:rFonts w:hint="eastAsia"/>
              </w:rPr>
              <w:t>本项目位于陕西省西安市南二环东段319号，受建设单位委托，陕西经纬科技发展有限责任公司对项目所在地及周边环境进行了辐射环境质量现状监测，监测结果与陕西省西安市原野、道路、建筑物室内γ辐射剂量率调查结果《陕西省环境天然贯穿辐射水平调查研究》（辐射防护，第14卷第4期，1997年7月）处于同一水平。可见项目所在区域辐射环境现状质量良好。</w:t>
            </w:r>
          </w:p>
          <w:p>
            <w:pPr>
              <w:widowControl/>
              <w:spacing w:line="360" w:lineRule="auto"/>
              <w:ind w:firstLine="470" w:firstLineChars="200"/>
            </w:pPr>
            <w:r>
              <w:rPr>
                <w:rFonts w:hint="eastAsia"/>
                <w:b/>
                <w:spacing w:val="-3"/>
                <w:kern w:val="0"/>
              </w:rPr>
              <w:t>13.1.</w:t>
            </w:r>
            <w:r>
              <w:rPr>
                <w:b/>
                <w:spacing w:val="-3"/>
                <w:kern w:val="0"/>
              </w:rPr>
              <w:t>4</w:t>
            </w:r>
            <w:r>
              <w:rPr>
                <w:rFonts w:hint="eastAsia"/>
                <w:b/>
                <w:spacing w:val="-3"/>
                <w:kern w:val="0"/>
              </w:rPr>
              <w:t>辐射</w:t>
            </w:r>
            <w:r>
              <w:rPr>
                <w:b/>
                <w:spacing w:val="-3"/>
                <w:kern w:val="0"/>
              </w:rPr>
              <w:t>安全与防护分析结论</w:t>
            </w:r>
          </w:p>
          <w:p>
            <w:pPr>
              <w:spacing w:line="360" w:lineRule="auto"/>
              <w:ind w:firstLine="480" w:firstLineChars="200"/>
            </w:pPr>
            <w:r>
              <w:rPr>
                <w:rFonts w:hint="eastAsia"/>
              </w:rPr>
              <w:t>项目将DSA手术室实体屏蔽（包括屏蔽墙、防护门、防护窗等）以内区域划分为控制区</w:t>
            </w:r>
            <w:r>
              <w:rPr>
                <w:rFonts w:hint="eastAsia"/>
                <w:szCs w:val="20"/>
              </w:rPr>
              <w:t>，DSA手术室</w:t>
            </w:r>
            <w:r>
              <w:rPr>
                <w:rFonts w:hint="eastAsia"/>
              </w:rPr>
              <w:t>周边与控制区相邻的操作间、设备间、走廊、C</w:t>
            </w:r>
            <w:r>
              <w:t>T</w:t>
            </w:r>
            <w:r>
              <w:rPr>
                <w:rFonts w:hint="eastAsia"/>
              </w:rPr>
              <w:t>机房、楼上医生办公室等划分为监督区，项目分区符合《电离辐射防护与辐射源安全基本标准》（GB18871-2002）第6.4款中有关辐射工作场所的分区规定。</w:t>
            </w:r>
          </w:p>
          <w:p>
            <w:pPr>
              <w:widowControl/>
              <w:spacing w:line="360" w:lineRule="auto"/>
              <w:ind w:firstLine="480"/>
            </w:pPr>
            <w:r>
              <w:rPr>
                <w:rFonts w:hint="eastAsia"/>
              </w:rPr>
              <w:t>项目在控制台处设置有观察窗，工作人员通过观察窗观察DSA手术室内患者状态；</w:t>
            </w:r>
            <w:r>
              <w:t>DSA手术室</w:t>
            </w:r>
            <w:r>
              <w:rPr>
                <w:rFonts w:hint="eastAsia"/>
              </w:rPr>
              <w:t>患者出入防护门门外应设置有电离辐射警告标志、辐射安全注意事项和工作状态指示灯，灯箱处设有警示语句；指示灯应与患者进出门设置有效的联动装置。</w:t>
            </w:r>
          </w:p>
          <w:p>
            <w:pPr>
              <w:widowControl/>
              <w:spacing w:line="360" w:lineRule="auto"/>
              <w:ind w:firstLine="480" w:firstLineChars="200"/>
            </w:pPr>
            <w:r>
              <w:rPr>
                <w:rFonts w:hint="eastAsia"/>
              </w:rPr>
              <w:t>项目为辐射工作人员和患者配备足量的个人防护用品，DSA手术室配备铅悬挂防护屏、移动铅屏风等辅助防护设施。医院拟配备1台辐射防护用X-γ辐射剂量当量率仪，安排专人定期对辐射工作场所及其周围环境进行自主监测。</w:t>
            </w:r>
          </w:p>
          <w:p>
            <w:pPr>
              <w:widowControl/>
              <w:spacing w:line="360" w:lineRule="auto"/>
              <w:ind w:firstLine="464" w:firstLineChars="200"/>
              <w:rPr>
                <w:spacing w:val="-4"/>
              </w:rPr>
            </w:pPr>
            <w:r>
              <w:rPr>
                <w:spacing w:val="-4"/>
              </w:rPr>
              <w:t>在落实以上辐射安全措施后，项目的辐射安全措施能够满足辐射安全要求。</w:t>
            </w:r>
          </w:p>
          <w:p>
            <w:pPr>
              <w:widowControl/>
              <w:spacing w:line="360" w:lineRule="auto"/>
              <w:ind w:firstLine="482" w:firstLineChars="200"/>
              <w:rPr>
                <w:b/>
              </w:rPr>
            </w:pPr>
            <w:r>
              <w:rPr>
                <w:rFonts w:hint="eastAsia"/>
                <w:b/>
              </w:rPr>
              <w:t>13.1.</w:t>
            </w:r>
            <w:r>
              <w:rPr>
                <w:b/>
              </w:rPr>
              <w:t>5</w:t>
            </w:r>
            <w:r>
              <w:rPr>
                <w:rFonts w:hint="eastAsia"/>
                <w:b/>
              </w:rPr>
              <w:t>环境</w:t>
            </w:r>
            <w:r>
              <w:rPr>
                <w:b/>
              </w:rPr>
              <w:t>影响</w:t>
            </w:r>
            <w:r>
              <w:rPr>
                <w:rFonts w:hint="eastAsia"/>
                <w:b/>
              </w:rPr>
              <w:t>分析结论</w:t>
            </w:r>
          </w:p>
          <w:p>
            <w:pPr>
              <w:adjustRightInd w:val="0"/>
              <w:spacing w:line="360" w:lineRule="auto"/>
              <w:ind w:right="113" w:firstLine="480" w:firstLineChars="200"/>
              <w:textAlignment w:val="baseline"/>
            </w:pPr>
            <w:r>
              <w:rPr>
                <w:rFonts w:hint="eastAsia"/>
              </w:rPr>
              <w:t>项目DSA手术室东侧、北侧墙体的防护等效铅当量为5</w:t>
            </w:r>
            <w:r>
              <w:t>.2</w:t>
            </w:r>
            <w:r>
              <w:rPr>
                <w:rFonts w:hint="eastAsia"/>
              </w:rPr>
              <w:t>mmPb；南侧墙体的防护等效铅当量为4</w:t>
            </w:r>
            <w:r>
              <w:t>.3</w:t>
            </w:r>
            <w:r>
              <w:rPr>
                <w:rFonts w:hint="eastAsia"/>
              </w:rPr>
              <w:t>mmPb；西侧墙体的防护等效铅当量为4.</w:t>
            </w:r>
            <w:r>
              <w:t>9</w:t>
            </w:r>
            <w:r>
              <w:rPr>
                <w:rFonts w:hint="eastAsia"/>
              </w:rPr>
              <w:t>mmPb；顶棚和地板防护等效铅当量为3</w:t>
            </w:r>
            <w:r>
              <w:t>.4</w:t>
            </w:r>
            <w:r>
              <w:rPr>
                <w:rFonts w:hint="eastAsia"/>
              </w:rPr>
              <w:t>mmPb，各防护门的防护铅当量均为3mmPb，观察窗的防护铅当量为3mmPb，满足《放射诊断放射防护要求》（GBZ130-2020）中“介入X射线设备机房有用线束方向铅当量2mm，非有用线束方向铅当量2mm”的要求。</w:t>
            </w:r>
          </w:p>
          <w:p>
            <w:pPr>
              <w:keepNext/>
              <w:keepLines/>
              <w:spacing w:line="360" w:lineRule="auto"/>
              <w:ind w:firstLine="480" w:firstLineChars="200"/>
              <w:outlineLvl w:val="0"/>
              <w:rPr>
                <w:bCs/>
                <w:kern w:val="44"/>
                <w:szCs w:val="44"/>
              </w:rPr>
            </w:pPr>
            <w:r>
              <w:rPr>
                <w:rFonts w:hint="eastAsia"/>
                <w:kern w:val="44"/>
                <w:szCs w:val="44"/>
              </w:rPr>
              <w:t>项目DSA手术室的尺寸参数为，东西</w:t>
            </w:r>
            <w:r>
              <w:rPr>
                <w:bCs/>
                <w:kern w:val="44"/>
                <w:szCs w:val="44"/>
              </w:rPr>
              <w:t>长7.30m、</w:t>
            </w:r>
            <w:r>
              <w:rPr>
                <w:rFonts w:hint="eastAsia"/>
                <w:bCs/>
                <w:kern w:val="44"/>
                <w:szCs w:val="44"/>
              </w:rPr>
              <w:t>南北</w:t>
            </w:r>
            <w:r>
              <w:rPr>
                <w:bCs/>
                <w:kern w:val="44"/>
                <w:szCs w:val="44"/>
              </w:rPr>
              <w:t>宽</w:t>
            </w:r>
            <w:r>
              <w:rPr>
                <w:rFonts w:hint="eastAsia"/>
                <w:bCs/>
                <w:kern w:val="44"/>
                <w:szCs w:val="44"/>
              </w:rPr>
              <w:t>为</w:t>
            </w:r>
            <w:r>
              <w:rPr>
                <w:bCs/>
                <w:kern w:val="44"/>
                <w:szCs w:val="44"/>
              </w:rPr>
              <w:t>5.44m，有效使用面积</w:t>
            </w:r>
            <w:r>
              <w:rPr>
                <w:rFonts w:hint="eastAsia"/>
                <w:bCs/>
                <w:kern w:val="44"/>
                <w:szCs w:val="44"/>
              </w:rPr>
              <w:t>均</w:t>
            </w:r>
            <w:r>
              <w:rPr>
                <w:bCs/>
                <w:kern w:val="44"/>
                <w:szCs w:val="44"/>
              </w:rPr>
              <w:t>为</w:t>
            </w:r>
            <w:r>
              <w:rPr>
                <w:rFonts w:hint="eastAsia"/>
                <w:bCs/>
                <w:kern w:val="44"/>
                <w:szCs w:val="44"/>
              </w:rPr>
              <w:t>3</w:t>
            </w:r>
            <w:r>
              <w:rPr>
                <w:bCs/>
                <w:kern w:val="44"/>
                <w:szCs w:val="44"/>
              </w:rPr>
              <w:t>9.71m</w:t>
            </w:r>
            <w:r>
              <w:rPr>
                <w:bCs/>
                <w:kern w:val="44"/>
                <w:szCs w:val="44"/>
                <w:vertAlign w:val="superscript"/>
              </w:rPr>
              <w:t>2</w:t>
            </w:r>
            <w:r>
              <w:rPr>
                <w:bCs/>
                <w:kern w:val="44"/>
                <w:szCs w:val="44"/>
              </w:rPr>
              <w:t>，满足《放射诊断放射防护要求》（GBZ130-2020）中</w:t>
            </w:r>
            <w:r>
              <w:rPr>
                <w:rFonts w:hint="eastAsia" w:ascii="宋体" w:hAnsi="宋体" w:cs="宋体"/>
                <w:bCs/>
                <w:kern w:val="44"/>
                <w:szCs w:val="44"/>
              </w:rPr>
              <w:t>“</w:t>
            </w:r>
            <w:r>
              <w:rPr>
                <w:bCs/>
                <w:kern w:val="44"/>
                <w:szCs w:val="44"/>
              </w:rPr>
              <w:t>机房内最小有效使用面积20m</w:t>
            </w:r>
            <w:r>
              <w:rPr>
                <w:bCs/>
                <w:kern w:val="44"/>
                <w:szCs w:val="44"/>
                <w:vertAlign w:val="superscript"/>
              </w:rPr>
              <w:t>2</w:t>
            </w:r>
            <w:r>
              <w:rPr>
                <w:bCs/>
                <w:kern w:val="44"/>
                <w:szCs w:val="44"/>
              </w:rPr>
              <w:t>，机房内最小单边长度3.5m</w:t>
            </w:r>
            <w:r>
              <w:rPr>
                <w:rFonts w:hint="eastAsia" w:ascii="宋体" w:hAnsi="宋体" w:cs="宋体"/>
                <w:bCs/>
                <w:kern w:val="44"/>
                <w:szCs w:val="44"/>
              </w:rPr>
              <w:t>”</w:t>
            </w:r>
            <w:r>
              <w:rPr>
                <w:bCs/>
                <w:kern w:val="44"/>
                <w:szCs w:val="44"/>
              </w:rPr>
              <w:t>的要求。</w:t>
            </w:r>
          </w:p>
          <w:p>
            <w:pPr>
              <w:adjustRightInd w:val="0"/>
              <w:spacing w:line="360" w:lineRule="auto"/>
              <w:ind w:firstLine="480" w:firstLineChars="200"/>
            </w:pPr>
            <w:r>
              <w:rPr>
                <w:rFonts w:hint="eastAsia"/>
              </w:rPr>
              <w:t>项目DSA在</w:t>
            </w:r>
            <w:r>
              <w:t>透视状态下</w:t>
            </w:r>
            <w:r>
              <w:rPr>
                <w:rFonts w:hint="eastAsia"/>
              </w:rPr>
              <w:t>，各屏蔽体外表面0.3m处的周围剂量当量率均</w:t>
            </w:r>
            <w:r>
              <w:t>能满足《</w:t>
            </w:r>
            <w:r>
              <w:rPr>
                <w:rFonts w:hint="eastAsia"/>
              </w:rPr>
              <w:t>放射诊断放射防护要求</w:t>
            </w:r>
            <w:r>
              <w:t>》（GBZ130-20</w:t>
            </w:r>
            <w:r>
              <w:rPr>
                <w:rFonts w:hint="eastAsia"/>
              </w:rPr>
              <w:t>20</w:t>
            </w:r>
            <w:r>
              <w:t>）中</w:t>
            </w:r>
            <w:r>
              <w:rPr>
                <w:rFonts w:hint="eastAsia"/>
              </w:rPr>
              <w:t>“具有透视功能的</w:t>
            </w:r>
            <w:r>
              <w:t>X</w:t>
            </w:r>
            <w:r>
              <w:rPr>
                <w:rFonts w:hint="eastAsia"/>
              </w:rPr>
              <w:t>射线机在透视条件下检测时，周围剂量当量率控制目标值应不大于</w:t>
            </w:r>
            <w:r>
              <w:t>2.5μSv/h</w:t>
            </w:r>
            <w:r>
              <w:rPr>
                <w:rFonts w:hint="eastAsia"/>
              </w:rPr>
              <w:t>”的要求。</w:t>
            </w:r>
          </w:p>
          <w:p>
            <w:pPr>
              <w:autoSpaceDE w:val="0"/>
              <w:autoSpaceDN w:val="0"/>
              <w:spacing w:line="360" w:lineRule="auto"/>
              <w:ind w:firstLine="480" w:firstLineChars="200"/>
              <w:rPr>
                <w:rFonts w:hAnsi="宋体"/>
              </w:rPr>
            </w:pPr>
            <w:r>
              <w:rPr>
                <w:rFonts w:hint="eastAsia" w:hAnsi="宋体"/>
              </w:rPr>
              <w:t>项目正常运行情况下，</w:t>
            </w:r>
            <w:r>
              <w:t>DSA</w:t>
            </w:r>
            <w:r>
              <w:rPr>
                <w:rFonts w:hint="eastAsia" w:hAnsi="宋体"/>
              </w:rPr>
              <w:t>操作间</w:t>
            </w:r>
            <w:r>
              <w:rPr>
                <w:rFonts w:hAnsi="宋体"/>
              </w:rPr>
              <w:t>内职业人员受到的年附加有效剂量最大值均为</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.11</w:t>
            </w:r>
            <w:r>
              <w:rPr>
                <w:rFonts w:hint="eastAsia"/>
                <w:color w:val="000000" w:themeColor="text1"/>
                <w14:textFill>
                  <w14:solidFill>
                    <w14:schemeClr w14:val="tx1"/>
                  </w14:solidFill>
                </w14:textFill>
              </w:rPr>
              <w:t>×10</w:t>
            </w:r>
            <w:r>
              <w:rPr>
                <w:rFonts w:hint="eastAsia"/>
                <w:color w:val="000000" w:themeColor="text1"/>
                <w:vertAlign w:val="superscript"/>
                <w14:textFill>
                  <w14:solidFill>
                    <w14:schemeClr w14:val="tx1"/>
                  </w14:solidFill>
                </w14:textFill>
              </w:rPr>
              <w:t>-</w:t>
            </w:r>
            <w:r>
              <w:rPr>
                <w:color w:val="000000" w:themeColor="text1"/>
                <w:vertAlign w:val="superscript"/>
                <w14:textFill>
                  <w14:solidFill>
                    <w14:schemeClr w14:val="tx1"/>
                  </w14:solidFill>
                </w14:textFill>
              </w:rPr>
              <w:t>1</w:t>
            </w:r>
            <w:r>
              <w:rPr>
                <w:rFonts w:hint="eastAsia"/>
                <w:color w:val="000000" w:themeColor="text1"/>
                <w14:textFill>
                  <w14:solidFill>
                    <w14:schemeClr w14:val="tx1"/>
                  </w14:solidFill>
                </w14:textFill>
              </w:rPr>
              <w:t>mSv/a</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介</w:t>
            </w:r>
            <w:r>
              <w:rPr>
                <w:rFonts w:hint="eastAsia" w:hAnsi="宋体"/>
                <w:color w:val="000000"/>
              </w:rPr>
              <w:t>入手术所致手术室内操作医生、护士年剂量为1</w:t>
            </w:r>
            <w:r>
              <w:rPr>
                <w:rFonts w:hAnsi="宋体"/>
                <w:color w:val="000000"/>
              </w:rPr>
              <w:t>.15</w:t>
            </w:r>
            <w:r>
              <w:rPr>
                <w:rFonts w:hint="eastAsia" w:hAnsi="宋体"/>
                <w:color w:val="000000"/>
              </w:rPr>
              <w:t>mSv，</w:t>
            </w:r>
            <w:r>
              <w:rPr>
                <w:rFonts w:hint="eastAsia" w:hAnsi="宋体"/>
              </w:rPr>
              <w:t>满足</w:t>
            </w:r>
            <w:r>
              <w:rPr>
                <w:rFonts w:hAnsi="宋体"/>
              </w:rPr>
              <w:t>《电离辐射防护与辐射源安全基本标准》</w:t>
            </w:r>
            <w:r>
              <w:rPr>
                <w:rFonts w:hint="eastAsia" w:hAnsi="宋体"/>
              </w:rPr>
              <w:t>（</w:t>
            </w:r>
            <w:r>
              <w:t>GB18871-2002</w:t>
            </w:r>
            <w:r>
              <w:rPr>
                <w:rFonts w:hint="eastAsia" w:hAnsi="宋体"/>
              </w:rPr>
              <w:t>）</w:t>
            </w:r>
            <w:r>
              <w:rPr>
                <w:rFonts w:hAnsi="宋体"/>
              </w:rPr>
              <w:t>中年剂量限值（职业人员</w:t>
            </w:r>
            <w:r>
              <w:t>20mSv</w:t>
            </w:r>
            <w:r>
              <w:rPr>
                <w:rFonts w:hAnsi="宋体"/>
              </w:rPr>
              <w:t>）及本次评价年剂量约束限值（职业人员</w:t>
            </w:r>
            <w:r>
              <w:t>5.0mSv</w:t>
            </w:r>
            <w:r>
              <w:rPr>
                <w:rFonts w:hAnsi="宋体"/>
              </w:rPr>
              <w:t>）。</w:t>
            </w:r>
          </w:p>
          <w:p>
            <w:pPr>
              <w:keepNext/>
              <w:keepLines/>
              <w:spacing w:line="360" w:lineRule="auto"/>
              <w:ind w:firstLine="480" w:firstLineChars="200"/>
              <w:outlineLvl w:val="0"/>
            </w:pPr>
            <w:r>
              <w:rPr>
                <w:rFonts w:hint="eastAsia"/>
              </w:rPr>
              <w:t>项目正常运行时，DSA手术室周围</w:t>
            </w:r>
            <w:r>
              <w:t>公</w:t>
            </w:r>
            <w:r>
              <w:rPr>
                <w:rFonts w:hint="eastAsia"/>
              </w:rPr>
              <w:t>众受到的年附加有效剂量最大值均为8</w:t>
            </w:r>
            <w:r>
              <w:t>.82</w:t>
            </w:r>
            <w:r>
              <w:rPr>
                <w:rFonts w:hint="eastAsia"/>
                <w:kern w:val="0"/>
              </w:rPr>
              <w:t>×10</w:t>
            </w:r>
            <w:r>
              <w:rPr>
                <w:rFonts w:hint="eastAsia"/>
                <w:kern w:val="0"/>
                <w:vertAlign w:val="superscript"/>
              </w:rPr>
              <w:t>-</w:t>
            </w:r>
            <w:r>
              <w:rPr>
                <w:kern w:val="0"/>
                <w:vertAlign w:val="superscript"/>
              </w:rPr>
              <w:t>2</w:t>
            </w:r>
            <w:r>
              <w:t>mSv</w:t>
            </w:r>
            <w:r>
              <w:rPr>
                <w:rFonts w:hint="eastAsia"/>
              </w:rPr>
              <w:t>，满足《电离辐射防护与辐射源安全基本标准》（</w:t>
            </w:r>
            <w:r>
              <w:t>GB18871-2002</w:t>
            </w:r>
            <w:r>
              <w:rPr>
                <w:rFonts w:hint="eastAsia"/>
              </w:rPr>
              <w:t>）的年剂量约束限值要求（公众人员1mSv）及本次评价所取的年剂量约束值（公众人员0.</w:t>
            </w:r>
            <w:r>
              <w:t>1</w:t>
            </w:r>
            <w:r>
              <w:rPr>
                <w:rFonts w:hint="eastAsia"/>
              </w:rPr>
              <w:t>mSv）</w:t>
            </w:r>
            <w:r>
              <w:t>。</w:t>
            </w:r>
          </w:p>
          <w:p>
            <w:pPr>
              <w:keepNext/>
              <w:keepLines/>
              <w:spacing w:line="360" w:lineRule="auto"/>
              <w:ind w:firstLine="482" w:firstLineChars="200"/>
              <w:outlineLvl w:val="0"/>
              <w:rPr>
                <w:b/>
                <w:bCs/>
                <w:kern w:val="44"/>
                <w:szCs w:val="44"/>
              </w:rPr>
            </w:pPr>
            <w:r>
              <w:rPr>
                <w:rFonts w:hint="eastAsia"/>
                <w:b/>
                <w:bCs/>
                <w:kern w:val="44"/>
                <w:szCs w:val="44"/>
              </w:rPr>
              <w:t>13.1.</w:t>
            </w:r>
            <w:r>
              <w:rPr>
                <w:b/>
                <w:bCs/>
                <w:kern w:val="44"/>
                <w:szCs w:val="44"/>
              </w:rPr>
              <w:t>6</w:t>
            </w:r>
            <w:r>
              <w:rPr>
                <w:rFonts w:hint="eastAsia"/>
                <w:b/>
                <w:bCs/>
                <w:kern w:val="44"/>
                <w:szCs w:val="44"/>
              </w:rPr>
              <w:t>辐射安全管理</w:t>
            </w:r>
          </w:p>
          <w:p>
            <w:pPr>
              <w:snapToGrid w:val="0"/>
              <w:spacing w:line="360" w:lineRule="auto"/>
              <w:ind w:firstLine="480" w:firstLineChars="200"/>
              <w:rPr>
                <w:color w:val="000000"/>
              </w:rPr>
            </w:pPr>
            <w:r>
              <w:rPr>
                <w:color w:val="000000"/>
              </w:rPr>
              <w:t>医院已成立了</w:t>
            </w:r>
            <w:r>
              <w:rPr>
                <w:rFonts w:hint="eastAsia"/>
                <w:color w:val="000000"/>
              </w:rPr>
              <w:t>辐射卫生管理机构及领导小组</w:t>
            </w:r>
            <w:r>
              <w:rPr>
                <w:color w:val="000000"/>
              </w:rPr>
              <w:t>，明确了相关人员职责；</w:t>
            </w:r>
            <w:r>
              <w:rPr>
                <w:rFonts w:hint="eastAsia"/>
                <w:color w:val="000000"/>
              </w:rPr>
              <w:t>本项目配备</w:t>
            </w:r>
            <w:r>
              <w:rPr>
                <w:color w:val="000000"/>
              </w:rPr>
              <w:t>辐射工作人员、辐射管理人员</w:t>
            </w:r>
            <w:r>
              <w:rPr>
                <w:rFonts w:hint="eastAsia"/>
                <w:color w:val="000000"/>
              </w:rPr>
              <w:t>应通过国家核技术利用辐射安全与防护培训平台进行辐射安全和防护专业知识学习，经考核合格持证上岗，后续新增人员应同样通过国家核技术利用辐射安全与防护培训平台进行辐射安全和防护专业知识学习，成绩合格后上岗。</w:t>
            </w:r>
            <w:r>
              <w:rPr>
                <w:color w:val="000000"/>
              </w:rPr>
              <w:t>各辐射工作场所的防护设施符合辐射防护相关要求，并配备有相应的辐射监测仪器，各项辐射安全规章制度基本健全，事故应急预案基本可行。</w:t>
            </w:r>
          </w:p>
          <w:p>
            <w:pPr>
              <w:keepNext/>
              <w:keepLines/>
              <w:spacing w:line="360" w:lineRule="auto"/>
              <w:ind w:firstLine="482" w:firstLineChars="200"/>
              <w:outlineLvl w:val="0"/>
              <w:rPr>
                <w:b/>
                <w:bCs/>
                <w:kern w:val="44"/>
                <w:szCs w:val="44"/>
              </w:rPr>
            </w:pPr>
            <w:r>
              <w:rPr>
                <w:rFonts w:hint="eastAsia"/>
                <w:b/>
                <w:bCs/>
                <w:kern w:val="44"/>
                <w:szCs w:val="44"/>
              </w:rPr>
              <w:t>13.1.</w:t>
            </w:r>
            <w:r>
              <w:rPr>
                <w:b/>
                <w:bCs/>
                <w:kern w:val="44"/>
                <w:szCs w:val="44"/>
              </w:rPr>
              <w:t>7可行性分析结论</w:t>
            </w:r>
          </w:p>
          <w:p>
            <w:pPr>
              <w:autoSpaceDE w:val="0"/>
              <w:autoSpaceDN w:val="0"/>
              <w:spacing w:line="360" w:lineRule="auto"/>
              <w:ind w:firstLine="480" w:firstLineChars="200"/>
            </w:pPr>
            <w:r>
              <w:rPr>
                <w:rFonts w:hint="eastAsia"/>
                <w:lang w:bidi="ar"/>
              </w:rPr>
              <w:t>综上所述，本项目符合国家产业政策以及实践正当性要求，在落实本报告提出的各项污染防治措施、辐射安全防护措施和辐射安全管理制度后，运行期对周围环境的辐射影响可达到合理且尽可能低的水平，满足辐射防护最优化原则。项目运行所致放射工作人员和公众年附加有效剂量小于环评提出的剂量约束值，符合剂量限值约束原则。因此，从辐射环境保护角度分析，该项目是可行的。</w:t>
            </w:r>
          </w:p>
          <w:p>
            <w:pPr>
              <w:spacing w:line="360" w:lineRule="auto"/>
              <w:jc w:val="left"/>
              <w:rPr>
                <w:b/>
                <w:bCs/>
                <w:sz w:val="28"/>
                <w:szCs w:val="28"/>
              </w:rPr>
            </w:pPr>
            <w:r>
              <w:rPr>
                <w:b/>
                <w:bCs/>
                <w:sz w:val="28"/>
                <w:szCs w:val="28"/>
              </w:rPr>
              <w:t>13.2 建议与承诺</w:t>
            </w:r>
          </w:p>
          <w:p>
            <w:pPr>
              <w:pStyle w:val="2"/>
              <w:ind w:firstLine="480"/>
              <w:rPr>
                <w:rFonts w:eastAsiaTheme="minorEastAsia"/>
              </w:rPr>
            </w:pPr>
            <w:r>
              <w:t>（1）项目建设期间，医院应严格按照《陕西省环境保护厅办公室关于印发新修订的&lt;陕西省核技术利用单位辐射安全管理标准化建设项目表&gt;的通知》（陕环办发〔2018〕29号）相关要求，建立健全各项辐射防护管理规章制度，规范管理与操作，认真开展自查自评工作，发现问题及时整改，竣工验收前须达到辐射安全管理标准化要求</w:t>
            </w:r>
            <w:r>
              <w:rPr>
                <w:rFonts w:hint="eastAsia" w:ascii="宋体" w:hAnsi="宋体" w:eastAsia="宋体" w:cs="宋体"/>
              </w:rPr>
              <w:t>；</w:t>
            </w:r>
          </w:p>
          <w:p>
            <w:pPr>
              <w:pStyle w:val="2"/>
              <w:ind w:firstLine="480"/>
              <w:rPr>
                <w:rFonts w:eastAsiaTheme="minorEastAsia"/>
              </w:rPr>
            </w:pPr>
            <w:r>
              <w:t>（2）项目竣工后，应按照国务院生态环境行政主管部门规定的标准和程序，对项目配套建设的环境保护设施进行验收，编制验收报告，经验收合格并取得辐射安全许可证后方可投入运行</w:t>
            </w:r>
            <w:r>
              <w:rPr>
                <w:rFonts w:hint="eastAsia" w:ascii="宋体" w:hAnsi="宋体" w:eastAsia="宋体" w:cs="宋体"/>
              </w:rPr>
              <w:t>；</w:t>
            </w:r>
          </w:p>
          <w:p>
            <w:pPr>
              <w:pStyle w:val="2"/>
              <w:ind w:firstLine="480"/>
              <w:rPr>
                <w:rFonts w:eastAsiaTheme="minorEastAsia"/>
              </w:rPr>
            </w:pPr>
            <w:r>
              <w:t>（3）项目建成运行后，应严格执行辐射环境监测制度，每年应对射线装置应用的安全和防护状况进行年度评估，并于每年1月31日前向发证机关报送上一年度辐射安全年度评估报告</w:t>
            </w:r>
            <w:r>
              <w:rPr>
                <w:rFonts w:hint="eastAsia" w:ascii="宋体" w:hAnsi="宋体" w:eastAsia="宋体" w:cs="宋体"/>
              </w:rPr>
              <w:t>；</w:t>
            </w:r>
          </w:p>
          <w:p>
            <w:pPr>
              <w:pStyle w:val="2"/>
              <w:keepLines/>
              <w:ind w:firstLine="480"/>
              <w:rPr>
                <w:rFonts w:eastAsiaTheme="minorEastAsia"/>
              </w:rPr>
            </w:pPr>
            <w:r>
              <w:t>（4）医院应根据相关规定配备工作人员和患者的个人防护用品，强调在介入手术室时，医护人员必须穿戴防护用品。铅衣等防护用品建议悬挂或平放，勿折叠</w:t>
            </w:r>
            <w:r>
              <w:rPr>
                <w:rFonts w:hint="eastAsia" w:ascii="宋体" w:hAnsi="宋体" w:eastAsia="宋体" w:cs="宋体"/>
              </w:rPr>
              <w:t>；</w:t>
            </w:r>
          </w:p>
          <w:p>
            <w:pPr>
              <w:pStyle w:val="2"/>
              <w:keepLines/>
              <w:widowControl/>
              <w:ind w:firstLine="480"/>
            </w:pPr>
            <w:r>
              <w:t>（</w:t>
            </w:r>
            <w:r>
              <w:rPr>
                <w:rFonts w:hint="eastAsia"/>
              </w:rPr>
              <w:t>5</w:t>
            </w:r>
            <w:r>
              <w:t>）不断完善辐射事故应急预案，加强日常演练，做到有备无患。</w:t>
            </w:r>
          </w:p>
          <w:p>
            <w:pPr>
              <w:pStyle w:val="2"/>
              <w:keepLines/>
              <w:widowControl/>
              <w:ind w:firstLine="480"/>
            </w:pPr>
          </w:p>
          <w:p>
            <w:pPr>
              <w:pStyle w:val="2"/>
              <w:keepLines/>
              <w:widowControl/>
              <w:ind w:firstLine="480"/>
            </w:pPr>
          </w:p>
          <w:p>
            <w:pPr>
              <w:pStyle w:val="2"/>
              <w:keepLines/>
              <w:widowControl/>
              <w:ind w:firstLine="480"/>
            </w:pPr>
          </w:p>
          <w:p>
            <w:pPr>
              <w:pStyle w:val="2"/>
              <w:keepLines/>
              <w:widowControl/>
              <w:ind w:firstLine="480"/>
            </w:pPr>
          </w:p>
          <w:p>
            <w:pPr>
              <w:pStyle w:val="2"/>
              <w:keepLines/>
              <w:widowControl/>
              <w:ind w:firstLine="480"/>
            </w:pPr>
          </w:p>
          <w:p>
            <w:pPr>
              <w:pStyle w:val="2"/>
              <w:keepLines/>
              <w:widowControl/>
              <w:ind w:firstLine="480"/>
            </w:pPr>
          </w:p>
          <w:p>
            <w:pPr>
              <w:pStyle w:val="2"/>
              <w:keepLines/>
              <w:widowControl/>
              <w:ind w:firstLine="480"/>
            </w:pPr>
          </w:p>
          <w:p>
            <w:pPr>
              <w:pStyle w:val="2"/>
              <w:keepLines/>
              <w:widowControl/>
              <w:ind w:firstLine="480"/>
            </w:pPr>
          </w:p>
          <w:p>
            <w:pPr>
              <w:pStyle w:val="2"/>
              <w:keepLines/>
              <w:widowControl/>
              <w:ind w:firstLine="480"/>
            </w:pPr>
          </w:p>
          <w:p>
            <w:pPr>
              <w:pStyle w:val="2"/>
              <w:keepLines/>
              <w:widowControl/>
              <w:ind w:firstLine="480"/>
            </w:pPr>
          </w:p>
          <w:p>
            <w:pPr>
              <w:pStyle w:val="2"/>
              <w:keepLines/>
              <w:widowControl/>
              <w:ind w:firstLine="480"/>
            </w:pPr>
          </w:p>
          <w:p>
            <w:pPr>
              <w:pStyle w:val="2"/>
              <w:keepLines/>
              <w:widowControl/>
              <w:ind w:firstLine="480"/>
            </w:pPr>
          </w:p>
          <w:p>
            <w:pPr>
              <w:pStyle w:val="2"/>
              <w:keepLines/>
              <w:widowControl/>
              <w:ind w:firstLine="480"/>
            </w:pPr>
          </w:p>
          <w:p>
            <w:pPr>
              <w:pStyle w:val="2"/>
              <w:keepLines/>
              <w:widowControl/>
              <w:ind w:firstLine="480"/>
            </w:pPr>
          </w:p>
          <w:p>
            <w:pPr>
              <w:pStyle w:val="2"/>
              <w:keepLines/>
              <w:widowControl/>
              <w:ind w:firstLine="480"/>
              <w:rPr>
                <w:rFonts w:eastAsiaTheme="minorEastAsia"/>
              </w:rPr>
            </w:pPr>
          </w:p>
          <w:p>
            <w:pPr>
              <w:pStyle w:val="2"/>
              <w:keepLines/>
              <w:widowControl/>
              <w:ind w:firstLine="480"/>
              <w:rPr>
                <w:rFonts w:eastAsiaTheme="minorEastAsia"/>
              </w:rPr>
            </w:pPr>
          </w:p>
          <w:p>
            <w:pPr>
              <w:pStyle w:val="2"/>
              <w:keepLines/>
              <w:widowControl/>
              <w:ind w:firstLine="0" w:firstLineChars="0"/>
              <w:rPr>
                <w:rFonts w:eastAsia="等线"/>
              </w:rPr>
            </w:pPr>
          </w:p>
        </w:tc>
      </w:tr>
    </w:tbl>
    <w:p>
      <w:pPr>
        <w:pStyle w:val="3"/>
        <w:rPr>
          <w:b w:val="0"/>
          <w:bCs w:val="0"/>
          <w:color w:val="000000"/>
          <w:sz w:val="28"/>
          <w:szCs w:val="28"/>
        </w:rPr>
      </w:pPr>
      <w:r>
        <w:rPr>
          <w:b w:val="0"/>
          <w:bCs w:val="0"/>
          <w:color w:val="000000"/>
          <w:sz w:val="28"/>
          <w:szCs w:val="28"/>
        </w:rPr>
        <w:br w:type="page"/>
      </w:r>
      <w:bookmarkStart w:id="37" w:name="_Toc11024"/>
      <w:r>
        <w:rPr>
          <w:color w:val="000000"/>
          <w:sz w:val="28"/>
          <w:szCs w:val="28"/>
        </w:rPr>
        <w:t>表14 审批</w:t>
      </w:r>
      <w:bookmarkEnd w:id="37"/>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jc w:val="center"/>
        </w:trPr>
        <w:tc>
          <w:tcPr>
            <w:tcW w:w="8731" w:type="dxa"/>
          </w:tcPr>
          <w:p>
            <w:pPr>
              <w:pStyle w:val="3"/>
              <w:rPr>
                <w:color w:val="000000"/>
                <w:sz w:val="24"/>
              </w:rPr>
            </w:pPr>
            <w:bookmarkStart w:id="38" w:name="_Toc12069"/>
            <w:r>
              <w:rPr>
                <w:color w:val="000000"/>
                <w:sz w:val="24"/>
              </w:rPr>
              <w:t>下一级环保部门预审意见：</w:t>
            </w:r>
            <w:bookmarkEnd w:id="38"/>
          </w:p>
          <w:p>
            <w:pPr>
              <w:pStyle w:val="2"/>
              <w:ind w:firstLine="480"/>
              <w:rPr>
                <w:rFonts w:eastAsia="宋体"/>
                <w:color w:val="000000"/>
              </w:rPr>
            </w:pPr>
          </w:p>
          <w:p>
            <w:pPr>
              <w:pStyle w:val="2"/>
              <w:ind w:firstLine="480"/>
              <w:rPr>
                <w:rFonts w:eastAsia="宋体"/>
                <w:color w:val="000000"/>
              </w:rPr>
            </w:pPr>
          </w:p>
          <w:p>
            <w:pPr>
              <w:pStyle w:val="2"/>
              <w:ind w:firstLine="0" w:firstLineChars="0"/>
              <w:rPr>
                <w:rFonts w:eastAsia="宋体"/>
                <w:color w:val="000000"/>
              </w:rPr>
            </w:pPr>
          </w:p>
          <w:p>
            <w:pPr>
              <w:pStyle w:val="2"/>
              <w:ind w:firstLine="480"/>
              <w:rPr>
                <w:rFonts w:eastAsia="宋体"/>
                <w:color w:val="000000"/>
              </w:rPr>
            </w:pPr>
          </w:p>
          <w:p>
            <w:pPr>
              <w:pStyle w:val="2"/>
              <w:ind w:firstLine="0" w:firstLineChars="0"/>
              <w:rPr>
                <w:rFonts w:eastAsia="宋体"/>
                <w:color w:val="000000"/>
              </w:rPr>
            </w:pPr>
          </w:p>
          <w:p>
            <w:pPr>
              <w:pStyle w:val="2"/>
              <w:ind w:firstLine="0" w:firstLineChars="0"/>
              <w:rPr>
                <w:rFonts w:eastAsia="宋体"/>
                <w:color w:val="000000"/>
              </w:rPr>
            </w:pPr>
          </w:p>
          <w:p>
            <w:pPr>
              <w:spacing w:line="360" w:lineRule="auto"/>
              <w:rPr>
                <w:b/>
                <w:bCs/>
                <w:color w:val="000000"/>
              </w:rPr>
            </w:pPr>
            <w:r>
              <w:rPr>
                <w:b/>
                <w:bCs/>
                <w:color w:val="000000"/>
              </w:rPr>
              <w:t xml:space="preserve">                                                     公    章</w:t>
            </w:r>
          </w:p>
          <w:p>
            <w:pPr>
              <w:spacing w:line="360" w:lineRule="auto"/>
              <w:rPr>
                <w:b/>
                <w:bCs/>
                <w:color w:val="000000"/>
              </w:rPr>
            </w:pPr>
            <w:r>
              <w:rPr>
                <w:b/>
                <w:bCs/>
                <w:color w:val="000000"/>
              </w:rPr>
              <w:t xml:space="preserve">     经办人                                     </w:t>
            </w:r>
          </w:p>
          <w:p>
            <w:pPr>
              <w:spacing w:line="360" w:lineRule="auto"/>
              <w:ind w:firstLine="5667" w:firstLineChars="2352"/>
              <w:rPr>
                <w:b/>
                <w:bCs/>
                <w:color w:val="000000"/>
              </w:rPr>
            </w:pPr>
            <w:r>
              <w:rPr>
                <w:b/>
                <w:bCs/>
                <w:color w:val="000000"/>
              </w:rPr>
              <w:t xml:space="preserve">    年    月    日</w:t>
            </w:r>
          </w:p>
          <w:p>
            <w:pPr>
              <w:keepLines/>
              <w:spacing w:line="360" w:lineRule="auto"/>
              <w:ind w:right="17"/>
              <w:rPr>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6" w:hRule="atLeast"/>
          <w:jc w:val="center"/>
        </w:trPr>
        <w:tc>
          <w:tcPr>
            <w:tcW w:w="8731" w:type="dxa"/>
          </w:tcPr>
          <w:p>
            <w:pPr>
              <w:pStyle w:val="3"/>
              <w:rPr>
                <w:color w:val="000000"/>
                <w:sz w:val="24"/>
              </w:rPr>
            </w:pPr>
            <w:bookmarkStart w:id="39" w:name="_Toc25229"/>
            <w:r>
              <w:rPr>
                <w:color w:val="000000"/>
                <w:sz w:val="24"/>
              </w:rPr>
              <w:t>审批意见</w:t>
            </w:r>
            <w:bookmarkEnd w:id="39"/>
          </w:p>
          <w:p>
            <w:pPr>
              <w:pStyle w:val="2"/>
              <w:ind w:firstLine="480"/>
              <w:rPr>
                <w:rFonts w:eastAsia="宋体"/>
                <w:color w:val="000000"/>
              </w:rPr>
            </w:pPr>
          </w:p>
          <w:p>
            <w:pPr>
              <w:pStyle w:val="2"/>
              <w:ind w:firstLine="480"/>
              <w:rPr>
                <w:rFonts w:eastAsia="宋体"/>
                <w:color w:val="000000"/>
              </w:rPr>
            </w:pPr>
          </w:p>
          <w:p>
            <w:pPr>
              <w:pStyle w:val="2"/>
              <w:ind w:firstLine="480"/>
              <w:rPr>
                <w:rFonts w:eastAsia="宋体"/>
                <w:color w:val="000000"/>
              </w:rPr>
            </w:pPr>
          </w:p>
          <w:p>
            <w:pPr>
              <w:pStyle w:val="2"/>
              <w:ind w:firstLine="480"/>
              <w:rPr>
                <w:rFonts w:eastAsia="宋体"/>
                <w:color w:val="000000"/>
              </w:rPr>
            </w:pPr>
          </w:p>
          <w:p>
            <w:pPr>
              <w:pStyle w:val="2"/>
              <w:ind w:firstLine="480"/>
              <w:rPr>
                <w:rFonts w:eastAsia="宋体"/>
                <w:color w:val="000000"/>
              </w:rPr>
            </w:pPr>
          </w:p>
          <w:p>
            <w:pPr>
              <w:pStyle w:val="2"/>
              <w:ind w:firstLine="480"/>
              <w:rPr>
                <w:rFonts w:eastAsia="宋体"/>
                <w:color w:val="000000"/>
              </w:rPr>
            </w:pPr>
          </w:p>
          <w:p>
            <w:pPr>
              <w:pStyle w:val="2"/>
              <w:ind w:firstLine="480"/>
              <w:rPr>
                <w:rFonts w:eastAsia="宋体"/>
                <w:color w:val="000000"/>
              </w:rPr>
            </w:pPr>
          </w:p>
          <w:p>
            <w:pPr>
              <w:pStyle w:val="2"/>
              <w:ind w:firstLine="0" w:firstLineChars="0"/>
              <w:rPr>
                <w:rFonts w:eastAsia="宋体"/>
                <w:color w:val="000000"/>
              </w:rPr>
            </w:pPr>
          </w:p>
          <w:p>
            <w:pPr>
              <w:pStyle w:val="2"/>
              <w:ind w:firstLine="0" w:firstLineChars="0"/>
              <w:rPr>
                <w:rFonts w:eastAsia="宋体"/>
                <w:color w:val="000000"/>
              </w:rPr>
            </w:pPr>
          </w:p>
          <w:p>
            <w:pPr>
              <w:spacing w:line="360" w:lineRule="auto"/>
              <w:rPr>
                <w:b/>
                <w:bCs/>
                <w:color w:val="000000"/>
              </w:rPr>
            </w:pPr>
            <w:r>
              <w:rPr>
                <w:b/>
                <w:bCs/>
                <w:color w:val="000000"/>
              </w:rPr>
              <w:t xml:space="preserve">                                                     公    章</w:t>
            </w:r>
          </w:p>
          <w:p>
            <w:pPr>
              <w:spacing w:line="360" w:lineRule="auto"/>
              <w:rPr>
                <w:b/>
                <w:bCs/>
                <w:color w:val="000000"/>
              </w:rPr>
            </w:pPr>
            <w:r>
              <w:rPr>
                <w:b/>
                <w:bCs/>
                <w:color w:val="000000"/>
              </w:rPr>
              <w:t xml:space="preserve">     经办人                                     </w:t>
            </w:r>
          </w:p>
          <w:p>
            <w:pPr>
              <w:spacing w:line="360" w:lineRule="auto"/>
              <w:ind w:firstLine="5667" w:firstLineChars="2352"/>
              <w:rPr>
                <w:b/>
                <w:bCs/>
                <w:color w:val="000000"/>
              </w:rPr>
            </w:pPr>
            <w:r>
              <w:rPr>
                <w:b/>
                <w:bCs/>
                <w:color w:val="000000"/>
              </w:rPr>
              <w:t xml:space="preserve">    年    月    日</w:t>
            </w:r>
          </w:p>
          <w:p>
            <w:pPr>
              <w:spacing w:line="360" w:lineRule="auto"/>
              <w:rPr>
                <w:b/>
                <w:bCs/>
                <w:color w:val="000000"/>
              </w:rPr>
            </w:pPr>
          </w:p>
        </w:tc>
      </w:tr>
    </w:tbl>
    <w:p>
      <w:pPr>
        <w:rPr>
          <w:color w:val="000000"/>
        </w:rPr>
      </w:pPr>
    </w:p>
    <w:sectPr>
      <w:pgSz w:w="11906" w:h="16838"/>
      <w:pgMar w:top="1440" w:right="1440" w:bottom="1440" w:left="1440" w:header="851" w:footer="992" w:gutter="0"/>
      <w:pgBorders>
        <w:top w:val="none" w:sz="0" w:space="0"/>
        <w:left w:val="none" w:sz="0" w:space="0"/>
        <w:bottom w:val="none" w:sz="0" w:space="0"/>
        <w:right w:val="none" w:sz="0" w:space="0"/>
      </w:pgBorders>
      <w:pgNumType w:fmt="numberInDash"/>
      <w:cols w:space="720" w:num="1"/>
      <w:docGrid w:type="lines" w:linePitch="33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华文行楷">
    <w:altName w:val="微软雅黑"/>
    <w:panose1 w:val="0201080004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90500" cy="131445"/>
              <wp:effectExtent l="0" t="0" r="2540" b="0"/>
              <wp:wrapNone/>
              <wp:docPr id="7"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ffectLst/>
                    </wps:spPr>
                    <wps:txbx>
                      <w:txbxContent>
                        <w:p>
                          <w:pPr>
                            <w:pStyle w:val="11"/>
                          </w:pPr>
                          <w:r>
                            <w:fldChar w:fldCharType="begin"/>
                          </w:r>
                          <w:r>
                            <w:instrText xml:space="preserve"> PAGE  \* MERGEFORMAT </w:instrText>
                          </w:r>
                          <w:r>
                            <w:fldChar w:fldCharType="separate"/>
                          </w:r>
                          <w:r>
                            <w:t>- 1 -</w:t>
                          </w:r>
                          <w:r>
                            <w:fldChar w:fldCharType="end"/>
                          </w: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top:0pt;height:10.35pt;width:15pt;mso-position-horizontal:center;mso-position-horizontal-relative:margin;mso-wrap-style:none;z-index:251664384;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&#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ipFLs0AAAAAMBAAAPAAAAAAAAAAEAIAAAACIAAABk&#10;cnMvZG93bnJldi54bWxQSwECFAAUAAAACACHTuJAyddzWQ4CAAAQBAAADgAAAAAAAAABACAAAAAf&#10;AQAAZHJzL2Uyb0RvYy54bWxQSwUGAAAAAAYABgBZAQAAnwU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- 1 -</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6" name="文本框 97"/>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a:effectLst/>
                    </wps:spPr>
                    <wps:txbx>
                      <w:txbxContent>
                        <w:p>
                          <w:pPr>
                            <w:pStyle w:val="11"/>
                          </w:pPr>
                        </w:p>
                      </w:txbxContent>
                    </wps:txbx>
                    <wps:bodyPr wrap="none" lIns="0" tIns="0" rIns="0" bIns="0">
                      <a:spAutoFit/>
                    </wps:bodyPr>
                  </wps:wsp>
                </a:graphicData>
              </a:graphic>
            </wp:anchor>
          </w:drawing>
        </mc:Choice>
        <mc:Fallback>
          <w:pict>
            <v:shape id="文本框 97"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V+SdAAAAADAQAADwAAAAAAAAABACAAAAAiAAAA&#10;ZHJzL2Rvd25yZXYueG1sUEsBAhQAFAAAAAgAh07iQLilyTfWAQAAowMAAA4AAAAAAAAAAQAgAAAA&#10;HwEAAGRycy9lMm9Eb2MueG1sUEsFBgAAAAAGAAYAWQEAAGcFAAAAAA==&#10;">
              <v:fill on="f" focussize="0,0"/>
              <v:stroke on="f"/>
              <v:imagedata o:title=""/>
              <o:lock v:ext="edit" aspectratio="f"/>
              <v:textbox inset="0mm,0mm,0mm,0mm" style="mso-fit-shape-to-text:t;">
                <w:txbxContent>
                  <w:p>
                    <w:pPr>
                      <w:pStyle w:val="11"/>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90500" cy="131445"/>
              <wp:effectExtent l="0" t="0" r="2540" b="0"/>
              <wp:wrapNone/>
              <wp:docPr id="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ffectLst/>
                    </wps:spPr>
                    <wps:txbx>
                      <w:txbxContent>
                        <w:p>
                          <w:pPr>
                            <w:pStyle w:val="11"/>
                          </w:pPr>
                          <w:r>
                            <w:fldChar w:fldCharType="begin"/>
                          </w:r>
                          <w:r>
                            <w:instrText xml:space="preserve"> PAGE  \* MERGEFORMAT </w:instrText>
                          </w:r>
                          <w:r>
                            <w:fldChar w:fldCharType="separate"/>
                          </w:r>
                          <w:r>
                            <w:t>- 1 -</w:t>
                          </w:r>
                          <w:r>
                            <w:fldChar w:fldCharType="end"/>
                          </w: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0pt;height:10.35pt;width:15pt;mso-position-horizontal:center;mso-position-horizontal-relative:margin;mso-wrap-style:none;z-index:251666432;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&#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ipFLs0AAAAAMBAAAPAAAAAAAAAAEAIAAAACIAAABk&#10;cnMvZG93bnJldi54bWxQSwECFAAUAAAACACHTuJAoD8+zQ4CAAAQBAAADgAAAAAAAAABACAAAAAf&#10;AQAAZHJzL2Uyb0RvYy54bWxQSwUGAAAAAAYABgBZAQAAnwU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- 1 -</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97"/>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a:effectLst/>
                    </wps:spPr>
                    <wps:txbx>
                      <w:txbxContent>
                        <w:p>
                          <w:pPr>
                            <w:pStyle w:val="11"/>
                          </w:pPr>
                        </w:p>
                      </w:txbxContent>
                    </wps:txbx>
                    <wps:bodyPr wrap="none" lIns="0" tIns="0" rIns="0" bIns="0">
                      <a:spAutoFit/>
                    </wps:bodyPr>
                  </wps:wsp>
                </a:graphicData>
              </a:graphic>
            </wp:anchor>
          </w:drawing>
        </mc:Choice>
        <mc:Fallback>
          <w:pict>
            <v:shape id="文本框 97" o:spid="_x0000_s1026" o:spt="202" type="#_x0000_t202" style="position:absolute;left:0pt;margin-top:0pt;height:10.35pt;width:9.05pt;mso-position-horizontal:center;mso-position-horizontal-relative:margin;mso-wrap-style:none;z-index:25166540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V+SdAAAAADAQAADwAAAAAAAAABACAAAAAiAAAA&#10;ZHJzL2Rvd25yZXYueG1sUEsBAhQAFAAAAAgAh07iQDElbMHWAQAAowMAAA4AAAAAAAAAAQAgAAAA&#10;HwEAAGRycy9lMm9Eb2MueG1sUEsFBgAAAAAGAAYAWQEAAGcFAAAAAA==&#10;">
              <v:fill on="f" focussize="0,0"/>
              <v:stroke on="f"/>
              <v:imagedata o:title=""/>
              <o:lock v:ext="edit" aspectratio="f"/>
              <v:textbox inset="0mm,0mm,0mm,0mm" style="mso-fit-shape-to-text:t;">
                <w:txbxContent>
                  <w:p>
                    <w:pPr>
                      <w:pStyle w:val="11"/>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90500" cy="131445"/>
              <wp:effectExtent l="0" t="0" r="2540" b="0"/>
              <wp:wrapNone/>
              <wp:docPr id="1"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ffectLst/>
                    </wps:spPr>
                    <wps:txbx>
                      <w:txbxContent>
                        <w:p>
                          <w:pPr>
                            <w:pStyle w:val="11"/>
                          </w:pPr>
                          <w:r>
                            <w:fldChar w:fldCharType="begin"/>
                          </w:r>
                          <w:r>
                            <w:instrText xml:space="preserve"> PAGE  \* MERGEFORMAT </w:instrText>
                          </w:r>
                          <w:r>
                            <w:fldChar w:fldCharType="separate"/>
                          </w:r>
                          <w:r>
                            <w:t>- 1 -</w:t>
                          </w:r>
                          <w:r>
                            <w:fldChar w:fldCharType="end"/>
                          </w:r>
                        </w:p>
                      </w:txbxContent>
                    </wps:txbx>
                    <wps:bodyPr rot="0" vert="horz" wrap="none" lIns="0" tIns="0" rIns="0" bIns="0" anchor="t" anchorCtr="0" upright="1">
                      <a:spAutoFit/>
                    </wps:bodyPr>
                  </wps:wsp>
                </a:graphicData>
              </a:graphic>
            </wp:anchor>
          </w:drawing>
        </mc:Choice>
        <mc:Fallback>
          <w:pict>
            <v:shape id="文本框 3" o:spid="_x0000_s1026" o:spt="202" type="#_x0000_t202" style="position:absolute;left:0pt;margin-top:0pt;height:10.35pt;width:15pt;mso-position-horizontal:center;mso-position-horizontal-relative:margin;mso-wrap-style:none;z-index:251663360;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KkUuzQAAAAAwEAAA8AAAAAAAAAAQAgAAAAIgAAAGRy&#10;cy9kb3ducmV2LnhtbFBLAQIUABQAAAAIAIdO4kDvCpY5DQIAABAEAAAOAAAAAAAAAAEAIAAAAB8B&#10;AABkcnMvZTJvRG9jLnhtbFBLBQYAAAAABgAGAFkBAACeBQ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- 1 -</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126" name="文本框 97"/>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a:effectLst/>
                    </wps:spPr>
                    <wps:txbx>
                      <w:txbxContent>
                        <w:p>
                          <w:pPr>
                            <w:pStyle w:val="11"/>
                          </w:pPr>
                        </w:p>
                      </w:txbxContent>
                    </wps:txbx>
                    <wps:bodyPr wrap="none" lIns="0" tIns="0" rIns="0" bIns="0">
                      <a:spAutoFit/>
                    </wps:bodyPr>
                  </wps:wsp>
                </a:graphicData>
              </a:graphic>
            </wp:anchor>
          </w:drawing>
        </mc:Choice>
        <mc:Fallback>
          <w:pict>
            <v:shape id="文本框 97"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PlfknQAAAAAwEAAA8AAAAAAAAAAQAgAAAAIgAA&#10;AGRycy9kb3ducmV2LnhtbFBLAQIUABQAAAAIAIdO4kB0CN/v1wEAAKUDAAAOAAAAAAAAAAEAIAAA&#10;AB8BAABkcnMvZTJvRG9jLnhtbFBLBQYAAAAABgAGAFkBAABoBQAAAAA=&#10;">
              <v:fill on="f" focussize="0,0"/>
              <v:stroke on="f"/>
              <v:imagedata o:title=""/>
              <o:lock v:ext="edit" aspectratio="f"/>
              <v:textbox inset="0mm,0mm,0mm,0mm" style="mso-fit-shape-to-text:t;">
                <w:txbxContent>
                  <w:p>
                    <w:pPr>
                      <w:pStyle w:val="11"/>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5A1F9A"/>
    <w:multiLevelType w:val="singleLevel"/>
    <w:tmpl w:val="1F5A1F9A"/>
    <w:lvl w:ilvl="0" w:tentative="0">
      <w:start w:val="1"/>
      <w:numFmt w:val="decimal"/>
      <w:suff w:val="nothing"/>
      <w:lvlText w:val="（%1）"/>
      <w:lvlJc w:val="left"/>
    </w:lvl>
  </w:abstractNum>
  <w:abstractNum w:abstractNumId="1">
    <w:nsid w:val="520A16AA"/>
    <w:multiLevelType w:val="multilevel"/>
    <w:tmpl w:val="520A16AA"/>
    <w:lvl w:ilvl="0" w:tentative="0">
      <w:start w:val="6"/>
      <w:numFmt w:val="decimal"/>
      <w:lvlText w:val="%1"/>
      <w:lvlJc w:val="left"/>
      <w:pPr>
        <w:ind w:left="360" w:hanging="360"/>
      </w:pPr>
    </w:lvl>
    <w:lvl w:ilvl="1" w:tentative="0">
      <w:start w:val="2"/>
      <w:numFmt w:val="decimal"/>
      <w:lvlText w:val="%1.%2"/>
      <w:lvlJc w:val="left"/>
      <w:pPr>
        <w:ind w:left="840" w:hanging="360"/>
      </w:pPr>
    </w:lvl>
    <w:lvl w:ilvl="2" w:tentative="0">
      <w:start w:val="1"/>
      <w:numFmt w:val="decimal"/>
      <w:lvlText w:val="%1.%2.%3"/>
      <w:lvlJc w:val="left"/>
      <w:pPr>
        <w:ind w:left="1680" w:hanging="720"/>
      </w:pPr>
    </w:lvl>
    <w:lvl w:ilvl="3" w:tentative="0">
      <w:start w:val="1"/>
      <w:numFmt w:val="decimal"/>
      <w:lvlText w:val="%1.%2.%3.%4"/>
      <w:lvlJc w:val="left"/>
      <w:pPr>
        <w:ind w:left="2160" w:hanging="720"/>
      </w:pPr>
    </w:lvl>
    <w:lvl w:ilvl="4" w:tentative="0">
      <w:start w:val="1"/>
      <w:numFmt w:val="decimal"/>
      <w:lvlText w:val="%1.%2.%3.%4.%5"/>
      <w:lvlJc w:val="left"/>
      <w:pPr>
        <w:ind w:left="3000" w:hanging="1080"/>
      </w:pPr>
    </w:lvl>
    <w:lvl w:ilvl="5" w:tentative="0">
      <w:start w:val="1"/>
      <w:numFmt w:val="decimal"/>
      <w:lvlText w:val="%1.%2.%3.%4.%5.%6"/>
      <w:lvlJc w:val="left"/>
      <w:pPr>
        <w:ind w:left="3480" w:hanging="1080"/>
      </w:pPr>
    </w:lvl>
    <w:lvl w:ilvl="6" w:tentative="0">
      <w:start w:val="1"/>
      <w:numFmt w:val="decimal"/>
      <w:lvlText w:val="%1.%2.%3.%4.%5.%6.%7"/>
      <w:lvlJc w:val="left"/>
      <w:pPr>
        <w:ind w:left="4320" w:hanging="1440"/>
      </w:pPr>
    </w:lvl>
    <w:lvl w:ilvl="7" w:tentative="0">
      <w:start w:val="1"/>
      <w:numFmt w:val="decimal"/>
      <w:lvlText w:val="%1.%2.%3.%4.%5.%6.%7.%8"/>
      <w:lvlJc w:val="left"/>
      <w:pPr>
        <w:ind w:left="4800" w:hanging="1440"/>
      </w:pPr>
    </w:lvl>
    <w:lvl w:ilvl="8" w:tentative="0">
      <w:start w:val="1"/>
      <w:numFmt w:val="decimal"/>
      <w:lvlText w:val="%1.%2.%3.%4.%5.%6.%7.%8.%9"/>
      <w:lvlJc w:val="left"/>
      <w:pPr>
        <w:ind w:left="5640" w:hanging="1800"/>
      </w:pPr>
    </w:lvl>
  </w:abstractNum>
  <w:num w:numId="1">
    <w:abstractNumId w:val="1"/>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displayBackgroundShape w:val="1"/>
  <w:bordersDoNotSurroundHeader w:val="1"/>
  <w:bordersDoNotSurroundFooter w:val="1"/>
  <w:documentProtection w:enforcement="0"/>
  <w:defaultTabStop w:val="420"/>
  <w:drawingGridHorizontalSpacing w:val="240"/>
  <w:drawingGridVerticalSpacing w:val="167"/>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JjN2QxNTdhZWE4ODQ4OTE5NjQxZDdiNTkxMmQ4NmYifQ=="/>
  </w:docVars>
  <w:rsids>
    <w:rsidRoot w:val="00172A27"/>
    <w:rsid w:val="000005BD"/>
    <w:rsid w:val="00000718"/>
    <w:rsid w:val="00000895"/>
    <w:rsid w:val="00001522"/>
    <w:rsid w:val="000022C1"/>
    <w:rsid w:val="000033E7"/>
    <w:rsid w:val="000036CC"/>
    <w:rsid w:val="00003BA5"/>
    <w:rsid w:val="00003EF9"/>
    <w:rsid w:val="000046BA"/>
    <w:rsid w:val="00004790"/>
    <w:rsid w:val="00004FA5"/>
    <w:rsid w:val="000050DE"/>
    <w:rsid w:val="000052A3"/>
    <w:rsid w:val="0000534C"/>
    <w:rsid w:val="000053C2"/>
    <w:rsid w:val="00005996"/>
    <w:rsid w:val="00005F1F"/>
    <w:rsid w:val="0000618A"/>
    <w:rsid w:val="000065FE"/>
    <w:rsid w:val="00006CFC"/>
    <w:rsid w:val="000077EF"/>
    <w:rsid w:val="00010448"/>
    <w:rsid w:val="00010D16"/>
    <w:rsid w:val="00011CAB"/>
    <w:rsid w:val="00012D26"/>
    <w:rsid w:val="00012F47"/>
    <w:rsid w:val="000135C2"/>
    <w:rsid w:val="00014282"/>
    <w:rsid w:val="00014964"/>
    <w:rsid w:val="00014BF0"/>
    <w:rsid w:val="00015008"/>
    <w:rsid w:val="00015458"/>
    <w:rsid w:val="00015D5E"/>
    <w:rsid w:val="00016AED"/>
    <w:rsid w:val="000175D4"/>
    <w:rsid w:val="00017DC6"/>
    <w:rsid w:val="0002029A"/>
    <w:rsid w:val="00020470"/>
    <w:rsid w:val="000209FF"/>
    <w:rsid w:val="00021A81"/>
    <w:rsid w:val="0002353C"/>
    <w:rsid w:val="00023A54"/>
    <w:rsid w:val="00023C5B"/>
    <w:rsid w:val="000242B8"/>
    <w:rsid w:val="000253C9"/>
    <w:rsid w:val="00025613"/>
    <w:rsid w:val="000259F3"/>
    <w:rsid w:val="00026CB4"/>
    <w:rsid w:val="00026DF8"/>
    <w:rsid w:val="00026F6C"/>
    <w:rsid w:val="00027476"/>
    <w:rsid w:val="00027674"/>
    <w:rsid w:val="00027AB2"/>
    <w:rsid w:val="00027EE2"/>
    <w:rsid w:val="000302C7"/>
    <w:rsid w:val="00030B72"/>
    <w:rsid w:val="00031282"/>
    <w:rsid w:val="00031F0B"/>
    <w:rsid w:val="0003253F"/>
    <w:rsid w:val="00032A72"/>
    <w:rsid w:val="00032BBA"/>
    <w:rsid w:val="00033677"/>
    <w:rsid w:val="00033C66"/>
    <w:rsid w:val="00034089"/>
    <w:rsid w:val="000340CC"/>
    <w:rsid w:val="00034120"/>
    <w:rsid w:val="00035303"/>
    <w:rsid w:val="00035312"/>
    <w:rsid w:val="00035844"/>
    <w:rsid w:val="00035940"/>
    <w:rsid w:val="00035966"/>
    <w:rsid w:val="00035C14"/>
    <w:rsid w:val="00035D8D"/>
    <w:rsid w:val="00035DA6"/>
    <w:rsid w:val="000365A2"/>
    <w:rsid w:val="000365EA"/>
    <w:rsid w:val="0003720F"/>
    <w:rsid w:val="00037D4E"/>
    <w:rsid w:val="0004079F"/>
    <w:rsid w:val="00042F01"/>
    <w:rsid w:val="000431FF"/>
    <w:rsid w:val="00043B36"/>
    <w:rsid w:val="000451E8"/>
    <w:rsid w:val="000456A6"/>
    <w:rsid w:val="000456B5"/>
    <w:rsid w:val="00045C6C"/>
    <w:rsid w:val="00045F40"/>
    <w:rsid w:val="0004751C"/>
    <w:rsid w:val="00047687"/>
    <w:rsid w:val="00047849"/>
    <w:rsid w:val="00050037"/>
    <w:rsid w:val="000508E5"/>
    <w:rsid w:val="0005135F"/>
    <w:rsid w:val="000517A3"/>
    <w:rsid w:val="00051DCA"/>
    <w:rsid w:val="000523A6"/>
    <w:rsid w:val="0005241B"/>
    <w:rsid w:val="00053886"/>
    <w:rsid w:val="00053BB4"/>
    <w:rsid w:val="00053FDB"/>
    <w:rsid w:val="00055002"/>
    <w:rsid w:val="00055B6F"/>
    <w:rsid w:val="00055D59"/>
    <w:rsid w:val="00056A76"/>
    <w:rsid w:val="0005787F"/>
    <w:rsid w:val="000578AE"/>
    <w:rsid w:val="0006092D"/>
    <w:rsid w:val="000610ED"/>
    <w:rsid w:val="0006133C"/>
    <w:rsid w:val="00061521"/>
    <w:rsid w:val="00061A60"/>
    <w:rsid w:val="00061C81"/>
    <w:rsid w:val="00062C88"/>
    <w:rsid w:val="00064529"/>
    <w:rsid w:val="00064CFF"/>
    <w:rsid w:val="00064D3F"/>
    <w:rsid w:val="000653ED"/>
    <w:rsid w:val="00065527"/>
    <w:rsid w:val="000661E6"/>
    <w:rsid w:val="00067F91"/>
    <w:rsid w:val="000701DC"/>
    <w:rsid w:val="00070B16"/>
    <w:rsid w:val="00070BD2"/>
    <w:rsid w:val="00070C62"/>
    <w:rsid w:val="00071373"/>
    <w:rsid w:val="00073416"/>
    <w:rsid w:val="000735AA"/>
    <w:rsid w:val="000737FB"/>
    <w:rsid w:val="0007437A"/>
    <w:rsid w:val="00074A1F"/>
    <w:rsid w:val="00074FFB"/>
    <w:rsid w:val="0007504B"/>
    <w:rsid w:val="00075280"/>
    <w:rsid w:val="000759CD"/>
    <w:rsid w:val="0007651E"/>
    <w:rsid w:val="000765CB"/>
    <w:rsid w:val="00076B65"/>
    <w:rsid w:val="000776B3"/>
    <w:rsid w:val="00080243"/>
    <w:rsid w:val="00080431"/>
    <w:rsid w:val="00081374"/>
    <w:rsid w:val="00081D40"/>
    <w:rsid w:val="00082772"/>
    <w:rsid w:val="0008297F"/>
    <w:rsid w:val="00082C9A"/>
    <w:rsid w:val="00082CE0"/>
    <w:rsid w:val="00082F53"/>
    <w:rsid w:val="00083BD6"/>
    <w:rsid w:val="000842F9"/>
    <w:rsid w:val="00084873"/>
    <w:rsid w:val="0008528F"/>
    <w:rsid w:val="00085C96"/>
    <w:rsid w:val="00085D55"/>
    <w:rsid w:val="00085FD5"/>
    <w:rsid w:val="0008666A"/>
    <w:rsid w:val="000866FB"/>
    <w:rsid w:val="00091239"/>
    <w:rsid w:val="000917DF"/>
    <w:rsid w:val="00092830"/>
    <w:rsid w:val="000939BF"/>
    <w:rsid w:val="00093DAD"/>
    <w:rsid w:val="00093F60"/>
    <w:rsid w:val="0009414A"/>
    <w:rsid w:val="00095409"/>
    <w:rsid w:val="00095981"/>
    <w:rsid w:val="000960B5"/>
    <w:rsid w:val="000963AF"/>
    <w:rsid w:val="000974A8"/>
    <w:rsid w:val="00097CE2"/>
    <w:rsid w:val="00097E8A"/>
    <w:rsid w:val="000A09B1"/>
    <w:rsid w:val="000A0C4F"/>
    <w:rsid w:val="000A15EA"/>
    <w:rsid w:val="000A17EF"/>
    <w:rsid w:val="000A1A71"/>
    <w:rsid w:val="000A1AB0"/>
    <w:rsid w:val="000A2D04"/>
    <w:rsid w:val="000A3A26"/>
    <w:rsid w:val="000A5D21"/>
    <w:rsid w:val="000A6569"/>
    <w:rsid w:val="000A6CF9"/>
    <w:rsid w:val="000A6D85"/>
    <w:rsid w:val="000A717C"/>
    <w:rsid w:val="000A7406"/>
    <w:rsid w:val="000A74F8"/>
    <w:rsid w:val="000A753C"/>
    <w:rsid w:val="000A7A6B"/>
    <w:rsid w:val="000A7C2F"/>
    <w:rsid w:val="000B0237"/>
    <w:rsid w:val="000B0551"/>
    <w:rsid w:val="000B0741"/>
    <w:rsid w:val="000B081C"/>
    <w:rsid w:val="000B0B7E"/>
    <w:rsid w:val="000B1568"/>
    <w:rsid w:val="000B21C0"/>
    <w:rsid w:val="000B2BE5"/>
    <w:rsid w:val="000B413F"/>
    <w:rsid w:val="000B4DAE"/>
    <w:rsid w:val="000B5718"/>
    <w:rsid w:val="000B58A0"/>
    <w:rsid w:val="000B5BF2"/>
    <w:rsid w:val="000B5D49"/>
    <w:rsid w:val="000B5FC4"/>
    <w:rsid w:val="000B6E6F"/>
    <w:rsid w:val="000B7439"/>
    <w:rsid w:val="000B7712"/>
    <w:rsid w:val="000B781B"/>
    <w:rsid w:val="000C08D1"/>
    <w:rsid w:val="000C0F0B"/>
    <w:rsid w:val="000C1016"/>
    <w:rsid w:val="000C1336"/>
    <w:rsid w:val="000C1499"/>
    <w:rsid w:val="000C16D8"/>
    <w:rsid w:val="000C1D43"/>
    <w:rsid w:val="000C288E"/>
    <w:rsid w:val="000C2910"/>
    <w:rsid w:val="000C31ED"/>
    <w:rsid w:val="000C3245"/>
    <w:rsid w:val="000C372E"/>
    <w:rsid w:val="000C3BF4"/>
    <w:rsid w:val="000C3E74"/>
    <w:rsid w:val="000C3FDC"/>
    <w:rsid w:val="000C441E"/>
    <w:rsid w:val="000C46B6"/>
    <w:rsid w:val="000C4B35"/>
    <w:rsid w:val="000C50AF"/>
    <w:rsid w:val="000C580C"/>
    <w:rsid w:val="000C5908"/>
    <w:rsid w:val="000C67E1"/>
    <w:rsid w:val="000C69B5"/>
    <w:rsid w:val="000C6F2D"/>
    <w:rsid w:val="000C71B3"/>
    <w:rsid w:val="000C7DAF"/>
    <w:rsid w:val="000D077E"/>
    <w:rsid w:val="000D0803"/>
    <w:rsid w:val="000D0913"/>
    <w:rsid w:val="000D0C51"/>
    <w:rsid w:val="000D1276"/>
    <w:rsid w:val="000D13FA"/>
    <w:rsid w:val="000D16F7"/>
    <w:rsid w:val="000D1A3A"/>
    <w:rsid w:val="000D1AAE"/>
    <w:rsid w:val="000D26A7"/>
    <w:rsid w:val="000D2798"/>
    <w:rsid w:val="000D43EC"/>
    <w:rsid w:val="000D4AD8"/>
    <w:rsid w:val="000D5697"/>
    <w:rsid w:val="000D57FF"/>
    <w:rsid w:val="000D63E4"/>
    <w:rsid w:val="000D644B"/>
    <w:rsid w:val="000D688B"/>
    <w:rsid w:val="000E006D"/>
    <w:rsid w:val="000E08C9"/>
    <w:rsid w:val="000E1546"/>
    <w:rsid w:val="000E2311"/>
    <w:rsid w:val="000E2775"/>
    <w:rsid w:val="000E3183"/>
    <w:rsid w:val="000E3F68"/>
    <w:rsid w:val="000E4429"/>
    <w:rsid w:val="000E4C76"/>
    <w:rsid w:val="000E56E0"/>
    <w:rsid w:val="000E63E0"/>
    <w:rsid w:val="000E6624"/>
    <w:rsid w:val="000E7EFA"/>
    <w:rsid w:val="000E7F26"/>
    <w:rsid w:val="000E7FCC"/>
    <w:rsid w:val="000F0090"/>
    <w:rsid w:val="000F08E9"/>
    <w:rsid w:val="000F0AD4"/>
    <w:rsid w:val="000F17D0"/>
    <w:rsid w:val="000F192E"/>
    <w:rsid w:val="000F1955"/>
    <w:rsid w:val="000F196C"/>
    <w:rsid w:val="000F1B63"/>
    <w:rsid w:val="000F1E6B"/>
    <w:rsid w:val="000F229A"/>
    <w:rsid w:val="000F24F2"/>
    <w:rsid w:val="000F27C0"/>
    <w:rsid w:val="000F3EB7"/>
    <w:rsid w:val="000F4466"/>
    <w:rsid w:val="000F4E24"/>
    <w:rsid w:val="000F4FA5"/>
    <w:rsid w:val="000F5479"/>
    <w:rsid w:val="000F5804"/>
    <w:rsid w:val="000F5845"/>
    <w:rsid w:val="000F58B9"/>
    <w:rsid w:val="000F5FE8"/>
    <w:rsid w:val="000F670B"/>
    <w:rsid w:val="000F68F1"/>
    <w:rsid w:val="000F6A88"/>
    <w:rsid w:val="000F6D2A"/>
    <w:rsid w:val="000F6E7C"/>
    <w:rsid w:val="000F6FFE"/>
    <w:rsid w:val="000F7358"/>
    <w:rsid w:val="000F7A62"/>
    <w:rsid w:val="00100B28"/>
    <w:rsid w:val="00100BEE"/>
    <w:rsid w:val="00100CC0"/>
    <w:rsid w:val="00100FA6"/>
    <w:rsid w:val="0010101A"/>
    <w:rsid w:val="00101416"/>
    <w:rsid w:val="00101756"/>
    <w:rsid w:val="00101992"/>
    <w:rsid w:val="00101BEA"/>
    <w:rsid w:val="001022C1"/>
    <w:rsid w:val="001025F1"/>
    <w:rsid w:val="001030BE"/>
    <w:rsid w:val="00103127"/>
    <w:rsid w:val="00103299"/>
    <w:rsid w:val="00103E76"/>
    <w:rsid w:val="0010507D"/>
    <w:rsid w:val="00105950"/>
    <w:rsid w:val="00105EBA"/>
    <w:rsid w:val="00105F06"/>
    <w:rsid w:val="00106515"/>
    <w:rsid w:val="001065D1"/>
    <w:rsid w:val="00106BB2"/>
    <w:rsid w:val="001076E4"/>
    <w:rsid w:val="00107919"/>
    <w:rsid w:val="00110915"/>
    <w:rsid w:val="001114F8"/>
    <w:rsid w:val="00112427"/>
    <w:rsid w:val="00112680"/>
    <w:rsid w:val="00112786"/>
    <w:rsid w:val="00112E28"/>
    <w:rsid w:val="001134FE"/>
    <w:rsid w:val="001143BA"/>
    <w:rsid w:val="001149CA"/>
    <w:rsid w:val="00115B19"/>
    <w:rsid w:val="00115C38"/>
    <w:rsid w:val="00115D2D"/>
    <w:rsid w:val="0011687D"/>
    <w:rsid w:val="00116C89"/>
    <w:rsid w:val="001176CA"/>
    <w:rsid w:val="001178EA"/>
    <w:rsid w:val="00117AE1"/>
    <w:rsid w:val="00120149"/>
    <w:rsid w:val="0012091D"/>
    <w:rsid w:val="00120AC1"/>
    <w:rsid w:val="0012107B"/>
    <w:rsid w:val="0012172C"/>
    <w:rsid w:val="00121787"/>
    <w:rsid w:val="001224FF"/>
    <w:rsid w:val="0012320F"/>
    <w:rsid w:val="0012587C"/>
    <w:rsid w:val="00126076"/>
    <w:rsid w:val="00126089"/>
    <w:rsid w:val="001261A7"/>
    <w:rsid w:val="001261DE"/>
    <w:rsid w:val="00127AB6"/>
    <w:rsid w:val="00127FC7"/>
    <w:rsid w:val="00130330"/>
    <w:rsid w:val="001313C5"/>
    <w:rsid w:val="0013197F"/>
    <w:rsid w:val="00132497"/>
    <w:rsid w:val="0013291A"/>
    <w:rsid w:val="0013298C"/>
    <w:rsid w:val="00132B24"/>
    <w:rsid w:val="00133456"/>
    <w:rsid w:val="0013367B"/>
    <w:rsid w:val="00133988"/>
    <w:rsid w:val="00133D4C"/>
    <w:rsid w:val="00134135"/>
    <w:rsid w:val="001341D0"/>
    <w:rsid w:val="00134323"/>
    <w:rsid w:val="00134352"/>
    <w:rsid w:val="001365CA"/>
    <w:rsid w:val="00136EAB"/>
    <w:rsid w:val="0013729C"/>
    <w:rsid w:val="00137608"/>
    <w:rsid w:val="00137F01"/>
    <w:rsid w:val="0014018F"/>
    <w:rsid w:val="0014033B"/>
    <w:rsid w:val="00140566"/>
    <w:rsid w:val="00141067"/>
    <w:rsid w:val="00141766"/>
    <w:rsid w:val="001417AC"/>
    <w:rsid w:val="00141A94"/>
    <w:rsid w:val="001423DA"/>
    <w:rsid w:val="00144B51"/>
    <w:rsid w:val="00145680"/>
    <w:rsid w:val="001459BE"/>
    <w:rsid w:val="00146924"/>
    <w:rsid w:val="00147B7B"/>
    <w:rsid w:val="001505CE"/>
    <w:rsid w:val="00150867"/>
    <w:rsid w:val="00150FE8"/>
    <w:rsid w:val="0015131B"/>
    <w:rsid w:val="0015253A"/>
    <w:rsid w:val="001528EC"/>
    <w:rsid w:val="00152FD4"/>
    <w:rsid w:val="001535DE"/>
    <w:rsid w:val="00155570"/>
    <w:rsid w:val="0015684A"/>
    <w:rsid w:val="00156DF3"/>
    <w:rsid w:val="001571C5"/>
    <w:rsid w:val="001574E3"/>
    <w:rsid w:val="00157650"/>
    <w:rsid w:val="00157BD7"/>
    <w:rsid w:val="0016104A"/>
    <w:rsid w:val="00161B0B"/>
    <w:rsid w:val="0016261D"/>
    <w:rsid w:val="001627A9"/>
    <w:rsid w:val="0016339B"/>
    <w:rsid w:val="00163D96"/>
    <w:rsid w:val="00164513"/>
    <w:rsid w:val="00164909"/>
    <w:rsid w:val="0016568E"/>
    <w:rsid w:val="00165716"/>
    <w:rsid w:val="00165E0C"/>
    <w:rsid w:val="00165FBB"/>
    <w:rsid w:val="00166EB8"/>
    <w:rsid w:val="00170147"/>
    <w:rsid w:val="00170295"/>
    <w:rsid w:val="00170469"/>
    <w:rsid w:val="00170C67"/>
    <w:rsid w:val="0017289D"/>
    <w:rsid w:val="00172A27"/>
    <w:rsid w:val="00172D7D"/>
    <w:rsid w:val="00172E20"/>
    <w:rsid w:val="00173D74"/>
    <w:rsid w:val="0017500E"/>
    <w:rsid w:val="001751FA"/>
    <w:rsid w:val="0017582B"/>
    <w:rsid w:val="00176227"/>
    <w:rsid w:val="00176346"/>
    <w:rsid w:val="0018057A"/>
    <w:rsid w:val="001807C1"/>
    <w:rsid w:val="00182A47"/>
    <w:rsid w:val="00183128"/>
    <w:rsid w:val="00183359"/>
    <w:rsid w:val="00183671"/>
    <w:rsid w:val="00184EFD"/>
    <w:rsid w:val="00185566"/>
    <w:rsid w:val="00185629"/>
    <w:rsid w:val="00185656"/>
    <w:rsid w:val="00185D20"/>
    <w:rsid w:val="00185F13"/>
    <w:rsid w:val="00186695"/>
    <w:rsid w:val="00187347"/>
    <w:rsid w:val="00187994"/>
    <w:rsid w:val="00190176"/>
    <w:rsid w:val="0019131D"/>
    <w:rsid w:val="0019212E"/>
    <w:rsid w:val="0019463F"/>
    <w:rsid w:val="00195542"/>
    <w:rsid w:val="00195DAD"/>
    <w:rsid w:val="0019713B"/>
    <w:rsid w:val="00197CE6"/>
    <w:rsid w:val="00197F39"/>
    <w:rsid w:val="001A0452"/>
    <w:rsid w:val="001A11FA"/>
    <w:rsid w:val="001A2170"/>
    <w:rsid w:val="001A2264"/>
    <w:rsid w:val="001A2F7A"/>
    <w:rsid w:val="001A366E"/>
    <w:rsid w:val="001A3FEE"/>
    <w:rsid w:val="001A477B"/>
    <w:rsid w:val="001A59DF"/>
    <w:rsid w:val="001A5A54"/>
    <w:rsid w:val="001A6B4D"/>
    <w:rsid w:val="001B06DD"/>
    <w:rsid w:val="001B24C4"/>
    <w:rsid w:val="001B2995"/>
    <w:rsid w:val="001B3D10"/>
    <w:rsid w:val="001B5733"/>
    <w:rsid w:val="001B5D87"/>
    <w:rsid w:val="001B72F7"/>
    <w:rsid w:val="001B7D9F"/>
    <w:rsid w:val="001B7F07"/>
    <w:rsid w:val="001C0982"/>
    <w:rsid w:val="001C13DC"/>
    <w:rsid w:val="001C1DD0"/>
    <w:rsid w:val="001C1F69"/>
    <w:rsid w:val="001C38E8"/>
    <w:rsid w:val="001C4E38"/>
    <w:rsid w:val="001C521C"/>
    <w:rsid w:val="001C5287"/>
    <w:rsid w:val="001C5381"/>
    <w:rsid w:val="001C5477"/>
    <w:rsid w:val="001C54F1"/>
    <w:rsid w:val="001C685C"/>
    <w:rsid w:val="001C68D2"/>
    <w:rsid w:val="001C69B0"/>
    <w:rsid w:val="001C6B17"/>
    <w:rsid w:val="001C6C75"/>
    <w:rsid w:val="001C74AE"/>
    <w:rsid w:val="001C772E"/>
    <w:rsid w:val="001D09B9"/>
    <w:rsid w:val="001D0B49"/>
    <w:rsid w:val="001D120A"/>
    <w:rsid w:val="001D1599"/>
    <w:rsid w:val="001D1B79"/>
    <w:rsid w:val="001D2F55"/>
    <w:rsid w:val="001D2FEE"/>
    <w:rsid w:val="001D3201"/>
    <w:rsid w:val="001D3447"/>
    <w:rsid w:val="001D34FD"/>
    <w:rsid w:val="001D36B1"/>
    <w:rsid w:val="001D633C"/>
    <w:rsid w:val="001D75F1"/>
    <w:rsid w:val="001D781F"/>
    <w:rsid w:val="001D7D85"/>
    <w:rsid w:val="001E01DF"/>
    <w:rsid w:val="001E06A4"/>
    <w:rsid w:val="001E0EBB"/>
    <w:rsid w:val="001E1C72"/>
    <w:rsid w:val="001E1E04"/>
    <w:rsid w:val="001E1ED8"/>
    <w:rsid w:val="001E2013"/>
    <w:rsid w:val="001E2175"/>
    <w:rsid w:val="001E21E6"/>
    <w:rsid w:val="001E34C8"/>
    <w:rsid w:val="001E3592"/>
    <w:rsid w:val="001E3785"/>
    <w:rsid w:val="001E442E"/>
    <w:rsid w:val="001E5584"/>
    <w:rsid w:val="001E5744"/>
    <w:rsid w:val="001E5DCE"/>
    <w:rsid w:val="001E643B"/>
    <w:rsid w:val="001E6749"/>
    <w:rsid w:val="001E6E0C"/>
    <w:rsid w:val="001E77DE"/>
    <w:rsid w:val="001F04CE"/>
    <w:rsid w:val="001F23A0"/>
    <w:rsid w:val="001F24A1"/>
    <w:rsid w:val="001F2C79"/>
    <w:rsid w:val="001F3453"/>
    <w:rsid w:val="001F3545"/>
    <w:rsid w:val="001F3829"/>
    <w:rsid w:val="001F3F33"/>
    <w:rsid w:val="001F4D74"/>
    <w:rsid w:val="001F4F5B"/>
    <w:rsid w:val="001F59B8"/>
    <w:rsid w:val="001F5EFE"/>
    <w:rsid w:val="001F6169"/>
    <w:rsid w:val="001F6206"/>
    <w:rsid w:val="001F6297"/>
    <w:rsid w:val="001F690C"/>
    <w:rsid w:val="001F6929"/>
    <w:rsid w:val="001F6DE6"/>
    <w:rsid w:val="001F729B"/>
    <w:rsid w:val="00200060"/>
    <w:rsid w:val="00200AE0"/>
    <w:rsid w:val="00200EF4"/>
    <w:rsid w:val="00200F28"/>
    <w:rsid w:val="0020106C"/>
    <w:rsid w:val="00201EC1"/>
    <w:rsid w:val="002023CF"/>
    <w:rsid w:val="00202905"/>
    <w:rsid w:val="002030E4"/>
    <w:rsid w:val="002035CA"/>
    <w:rsid w:val="00203C1D"/>
    <w:rsid w:val="00204297"/>
    <w:rsid w:val="002045AC"/>
    <w:rsid w:val="00204AC9"/>
    <w:rsid w:val="00205B60"/>
    <w:rsid w:val="00205FC6"/>
    <w:rsid w:val="002060C3"/>
    <w:rsid w:val="00206104"/>
    <w:rsid w:val="0020696D"/>
    <w:rsid w:val="00206CDE"/>
    <w:rsid w:val="00207665"/>
    <w:rsid w:val="00207CBF"/>
    <w:rsid w:val="00207E07"/>
    <w:rsid w:val="00210A8F"/>
    <w:rsid w:val="00211603"/>
    <w:rsid w:val="00212A72"/>
    <w:rsid w:val="0021353F"/>
    <w:rsid w:val="00213673"/>
    <w:rsid w:val="00213687"/>
    <w:rsid w:val="0021433A"/>
    <w:rsid w:val="00214A2B"/>
    <w:rsid w:val="00214B50"/>
    <w:rsid w:val="00214E87"/>
    <w:rsid w:val="002153CD"/>
    <w:rsid w:val="0021564C"/>
    <w:rsid w:val="00215BBB"/>
    <w:rsid w:val="002169DC"/>
    <w:rsid w:val="002169FB"/>
    <w:rsid w:val="0022036F"/>
    <w:rsid w:val="00220406"/>
    <w:rsid w:val="002207C6"/>
    <w:rsid w:val="00220EF4"/>
    <w:rsid w:val="00221565"/>
    <w:rsid w:val="00221754"/>
    <w:rsid w:val="002228EF"/>
    <w:rsid w:val="00223275"/>
    <w:rsid w:val="002233D9"/>
    <w:rsid w:val="002234FB"/>
    <w:rsid w:val="002256BB"/>
    <w:rsid w:val="00225BB7"/>
    <w:rsid w:val="00225E4B"/>
    <w:rsid w:val="002263F3"/>
    <w:rsid w:val="00226F2A"/>
    <w:rsid w:val="00227DA3"/>
    <w:rsid w:val="00227F8E"/>
    <w:rsid w:val="00227FAA"/>
    <w:rsid w:val="0023057A"/>
    <w:rsid w:val="00231432"/>
    <w:rsid w:val="00232951"/>
    <w:rsid w:val="00232CEE"/>
    <w:rsid w:val="002332D8"/>
    <w:rsid w:val="002339C1"/>
    <w:rsid w:val="002347C3"/>
    <w:rsid w:val="0023627A"/>
    <w:rsid w:val="002364C0"/>
    <w:rsid w:val="00236A20"/>
    <w:rsid w:val="00236E03"/>
    <w:rsid w:val="00241560"/>
    <w:rsid w:val="002419A3"/>
    <w:rsid w:val="00241D32"/>
    <w:rsid w:val="00241F9A"/>
    <w:rsid w:val="00241FA5"/>
    <w:rsid w:val="002442F0"/>
    <w:rsid w:val="002447D8"/>
    <w:rsid w:val="00244A6B"/>
    <w:rsid w:val="00244FFA"/>
    <w:rsid w:val="002457B5"/>
    <w:rsid w:val="00245D84"/>
    <w:rsid w:val="00245EE5"/>
    <w:rsid w:val="0024627F"/>
    <w:rsid w:val="00246670"/>
    <w:rsid w:val="00246B15"/>
    <w:rsid w:val="002474F5"/>
    <w:rsid w:val="0025055F"/>
    <w:rsid w:val="00250754"/>
    <w:rsid w:val="00252032"/>
    <w:rsid w:val="00252B18"/>
    <w:rsid w:val="00252F58"/>
    <w:rsid w:val="002532F8"/>
    <w:rsid w:val="0025330D"/>
    <w:rsid w:val="00253472"/>
    <w:rsid w:val="0025356E"/>
    <w:rsid w:val="00253A1B"/>
    <w:rsid w:val="00253A24"/>
    <w:rsid w:val="00253EC5"/>
    <w:rsid w:val="002540BC"/>
    <w:rsid w:val="00254C1D"/>
    <w:rsid w:val="002552BA"/>
    <w:rsid w:val="00255842"/>
    <w:rsid w:val="00256093"/>
    <w:rsid w:val="00256B5A"/>
    <w:rsid w:val="00256C74"/>
    <w:rsid w:val="00256D7B"/>
    <w:rsid w:val="002572B3"/>
    <w:rsid w:val="00257D6A"/>
    <w:rsid w:val="00261092"/>
    <w:rsid w:val="002612C2"/>
    <w:rsid w:val="0026178E"/>
    <w:rsid w:val="00261BD5"/>
    <w:rsid w:val="00262DCB"/>
    <w:rsid w:val="00262DDF"/>
    <w:rsid w:val="002636AF"/>
    <w:rsid w:val="0026387F"/>
    <w:rsid w:val="002644BD"/>
    <w:rsid w:val="002650DF"/>
    <w:rsid w:val="0026528F"/>
    <w:rsid w:val="00265292"/>
    <w:rsid w:val="00265AAF"/>
    <w:rsid w:val="00267832"/>
    <w:rsid w:val="00267A00"/>
    <w:rsid w:val="0027055C"/>
    <w:rsid w:val="00271AFD"/>
    <w:rsid w:val="0027239B"/>
    <w:rsid w:val="00272716"/>
    <w:rsid w:val="00272AE8"/>
    <w:rsid w:val="0027392B"/>
    <w:rsid w:val="00273ADA"/>
    <w:rsid w:val="00274607"/>
    <w:rsid w:val="00274C9A"/>
    <w:rsid w:val="002751A3"/>
    <w:rsid w:val="00275B86"/>
    <w:rsid w:val="00275DFC"/>
    <w:rsid w:val="00276A69"/>
    <w:rsid w:val="002774B2"/>
    <w:rsid w:val="00280251"/>
    <w:rsid w:val="00280A81"/>
    <w:rsid w:val="00281A88"/>
    <w:rsid w:val="00281B67"/>
    <w:rsid w:val="0028253D"/>
    <w:rsid w:val="002829AD"/>
    <w:rsid w:val="00283BC2"/>
    <w:rsid w:val="00284362"/>
    <w:rsid w:val="0028443D"/>
    <w:rsid w:val="00285B12"/>
    <w:rsid w:val="0028657D"/>
    <w:rsid w:val="002873E0"/>
    <w:rsid w:val="002877FE"/>
    <w:rsid w:val="0028795E"/>
    <w:rsid w:val="00287B5A"/>
    <w:rsid w:val="00287D93"/>
    <w:rsid w:val="00290410"/>
    <w:rsid w:val="0029092B"/>
    <w:rsid w:val="00290A93"/>
    <w:rsid w:val="0029104F"/>
    <w:rsid w:val="002910AD"/>
    <w:rsid w:val="002911BC"/>
    <w:rsid w:val="00292290"/>
    <w:rsid w:val="002924B8"/>
    <w:rsid w:val="002925F0"/>
    <w:rsid w:val="00292697"/>
    <w:rsid w:val="002931B7"/>
    <w:rsid w:val="00293A09"/>
    <w:rsid w:val="002949D9"/>
    <w:rsid w:val="0029551A"/>
    <w:rsid w:val="00296192"/>
    <w:rsid w:val="00296F9E"/>
    <w:rsid w:val="0029707F"/>
    <w:rsid w:val="002978D9"/>
    <w:rsid w:val="00297DBF"/>
    <w:rsid w:val="002A084E"/>
    <w:rsid w:val="002A0E0A"/>
    <w:rsid w:val="002A18AD"/>
    <w:rsid w:val="002A2531"/>
    <w:rsid w:val="002A2F2B"/>
    <w:rsid w:val="002A32CC"/>
    <w:rsid w:val="002A32F3"/>
    <w:rsid w:val="002A3B47"/>
    <w:rsid w:val="002A3BA0"/>
    <w:rsid w:val="002A44DA"/>
    <w:rsid w:val="002A46A6"/>
    <w:rsid w:val="002A47A3"/>
    <w:rsid w:val="002A59C3"/>
    <w:rsid w:val="002A5A40"/>
    <w:rsid w:val="002A5F8F"/>
    <w:rsid w:val="002A60BC"/>
    <w:rsid w:val="002A67F3"/>
    <w:rsid w:val="002A71CB"/>
    <w:rsid w:val="002A75E8"/>
    <w:rsid w:val="002A7C9C"/>
    <w:rsid w:val="002B051A"/>
    <w:rsid w:val="002B0A94"/>
    <w:rsid w:val="002B0B2B"/>
    <w:rsid w:val="002B11C5"/>
    <w:rsid w:val="002B13DB"/>
    <w:rsid w:val="002B146A"/>
    <w:rsid w:val="002B33A5"/>
    <w:rsid w:val="002B35F7"/>
    <w:rsid w:val="002B3760"/>
    <w:rsid w:val="002B3851"/>
    <w:rsid w:val="002B41F0"/>
    <w:rsid w:val="002B43DF"/>
    <w:rsid w:val="002B49AE"/>
    <w:rsid w:val="002B5B52"/>
    <w:rsid w:val="002B66D4"/>
    <w:rsid w:val="002B68E8"/>
    <w:rsid w:val="002C0237"/>
    <w:rsid w:val="002C0551"/>
    <w:rsid w:val="002C35BA"/>
    <w:rsid w:val="002C4201"/>
    <w:rsid w:val="002C4217"/>
    <w:rsid w:val="002C423A"/>
    <w:rsid w:val="002C4347"/>
    <w:rsid w:val="002C44CB"/>
    <w:rsid w:val="002C4A83"/>
    <w:rsid w:val="002C50AC"/>
    <w:rsid w:val="002C51B3"/>
    <w:rsid w:val="002C51D1"/>
    <w:rsid w:val="002C5F0A"/>
    <w:rsid w:val="002C608C"/>
    <w:rsid w:val="002C64DD"/>
    <w:rsid w:val="002C7AA7"/>
    <w:rsid w:val="002C7F3E"/>
    <w:rsid w:val="002D0961"/>
    <w:rsid w:val="002D2440"/>
    <w:rsid w:val="002D248F"/>
    <w:rsid w:val="002D2C33"/>
    <w:rsid w:val="002D455B"/>
    <w:rsid w:val="002D4970"/>
    <w:rsid w:val="002D4D0C"/>
    <w:rsid w:val="002D502E"/>
    <w:rsid w:val="002D50B5"/>
    <w:rsid w:val="002D67B0"/>
    <w:rsid w:val="002D6BDC"/>
    <w:rsid w:val="002D7924"/>
    <w:rsid w:val="002E0804"/>
    <w:rsid w:val="002E18C9"/>
    <w:rsid w:val="002E1B1B"/>
    <w:rsid w:val="002E244B"/>
    <w:rsid w:val="002E245A"/>
    <w:rsid w:val="002E284F"/>
    <w:rsid w:val="002E3037"/>
    <w:rsid w:val="002E310D"/>
    <w:rsid w:val="002E37A5"/>
    <w:rsid w:val="002E3A8F"/>
    <w:rsid w:val="002E3CD2"/>
    <w:rsid w:val="002E4665"/>
    <w:rsid w:val="002E4674"/>
    <w:rsid w:val="002E5122"/>
    <w:rsid w:val="002E6DA2"/>
    <w:rsid w:val="002E6FC5"/>
    <w:rsid w:val="002E7157"/>
    <w:rsid w:val="002E7CA8"/>
    <w:rsid w:val="002F1384"/>
    <w:rsid w:val="002F150E"/>
    <w:rsid w:val="002F236F"/>
    <w:rsid w:val="002F302E"/>
    <w:rsid w:val="002F37DD"/>
    <w:rsid w:val="002F3F67"/>
    <w:rsid w:val="002F4225"/>
    <w:rsid w:val="002F4CAF"/>
    <w:rsid w:val="002F53D5"/>
    <w:rsid w:val="002F5B43"/>
    <w:rsid w:val="002F5C51"/>
    <w:rsid w:val="002F5F66"/>
    <w:rsid w:val="002F636A"/>
    <w:rsid w:val="002F6644"/>
    <w:rsid w:val="002F66CD"/>
    <w:rsid w:val="002F743B"/>
    <w:rsid w:val="002F771D"/>
    <w:rsid w:val="002F7BFA"/>
    <w:rsid w:val="00300521"/>
    <w:rsid w:val="0030061A"/>
    <w:rsid w:val="003008EB"/>
    <w:rsid w:val="003016AB"/>
    <w:rsid w:val="003029DC"/>
    <w:rsid w:val="00303FE6"/>
    <w:rsid w:val="0030544B"/>
    <w:rsid w:val="00305B3A"/>
    <w:rsid w:val="003072C3"/>
    <w:rsid w:val="00310AE3"/>
    <w:rsid w:val="003114AC"/>
    <w:rsid w:val="0031251D"/>
    <w:rsid w:val="00312893"/>
    <w:rsid w:val="003130B0"/>
    <w:rsid w:val="003131AF"/>
    <w:rsid w:val="0031344B"/>
    <w:rsid w:val="0031400A"/>
    <w:rsid w:val="00314A87"/>
    <w:rsid w:val="00314D13"/>
    <w:rsid w:val="00315106"/>
    <w:rsid w:val="003152D7"/>
    <w:rsid w:val="00315975"/>
    <w:rsid w:val="00315BBD"/>
    <w:rsid w:val="00315FB2"/>
    <w:rsid w:val="003160F3"/>
    <w:rsid w:val="00320ED9"/>
    <w:rsid w:val="003210D9"/>
    <w:rsid w:val="00321238"/>
    <w:rsid w:val="003219EC"/>
    <w:rsid w:val="003221C4"/>
    <w:rsid w:val="003223F7"/>
    <w:rsid w:val="00322763"/>
    <w:rsid w:val="003227D6"/>
    <w:rsid w:val="0032340F"/>
    <w:rsid w:val="00323DEA"/>
    <w:rsid w:val="00324042"/>
    <w:rsid w:val="00324EC5"/>
    <w:rsid w:val="003252FB"/>
    <w:rsid w:val="0032548D"/>
    <w:rsid w:val="00326589"/>
    <w:rsid w:val="003268A5"/>
    <w:rsid w:val="00326DB2"/>
    <w:rsid w:val="00326E41"/>
    <w:rsid w:val="00327043"/>
    <w:rsid w:val="00331C4B"/>
    <w:rsid w:val="00331D4E"/>
    <w:rsid w:val="00331E53"/>
    <w:rsid w:val="003331BC"/>
    <w:rsid w:val="0033332C"/>
    <w:rsid w:val="00333A2D"/>
    <w:rsid w:val="0033404D"/>
    <w:rsid w:val="003341A3"/>
    <w:rsid w:val="00334427"/>
    <w:rsid w:val="00334813"/>
    <w:rsid w:val="003348B0"/>
    <w:rsid w:val="00334ED4"/>
    <w:rsid w:val="00335291"/>
    <w:rsid w:val="003355F8"/>
    <w:rsid w:val="00335C93"/>
    <w:rsid w:val="003373C8"/>
    <w:rsid w:val="00340A04"/>
    <w:rsid w:val="00341ABF"/>
    <w:rsid w:val="00342259"/>
    <w:rsid w:val="00342CE3"/>
    <w:rsid w:val="00342FF6"/>
    <w:rsid w:val="003438D8"/>
    <w:rsid w:val="00343DE4"/>
    <w:rsid w:val="003440D1"/>
    <w:rsid w:val="00344DEC"/>
    <w:rsid w:val="00346102"/>
    <w:rsid w:val="003469A3"/>
    <w:rsid w:val="00346A30"/>
    <w:rsid w:val="00346DF0"/>
    <w:rsid w:val="00346FBE"/>
    <w:rsid w:val="003501B5"/>
    <w:rsid w:val="00350566"/>
    <w:rsid w:val="00350F80"/>
    <w:rsid w:val="003525E1"/>
    <w:rsid w:val="003528E3"/>
    <w:rsid w:val="00352A6E"/>
    <w:rsid w:val="00352BCE"/>
    <w:rsid w:val="00352BEC"/>
    <w:rsid w:val="00352DED"/>
    <w:rsid w:val="00353B5B"/>
    <w:rsid w:val="00353CFB"/>
    <w:rsid w:val="0035464C"/>
    <w:rsid w:val="003564DA"/>
    <w:rsid w:val="003574CB"/>
    <w:rsid w:val="00360E85"/>
    <w:rsid w:val="00360F08"/>
    <w:rsid w:val="00361245"/>
    <w:rsid w:val="00361480"/>
    <w:rsid w:val="00361FD5"/>
    <w:rsid w:val="00362771"/>
    <w:rsid w:val="00362C8A"/>
    <w:rsid w:val="00364993"/>
    <w:rsid w:val="00365C71"/>
    <w:rsid w:val="003675B3"/>
    <w:rsid w:val="00367B40"/>
    <w:rsid w:val="00370425"/>
    <w:rsid w:val="00370773"/>
    <w:rsid w:val="00370BD9"/>
    <w:rsid w:val="00371301"/>
    <w:rsid w:val="0037142E"/>
    <w:rsid w:val="00371539"/>
    <w:rsid w:val="00372244"/>
    <w:rsid w:val="003729BD"/>
    <w:rsid w:val="00372D92"/>
    <w:rsid w:val="00373526"/>
    <w:rsid w:val="00373A6B"/>
    <w:rsid w:val="00373CDB"/>
    <w:rsid w:val="00373E41"/>
    <w:rsid w:val="00375469"/>
    <w:rsid w:val="003755C8"/>
    <w:rsid w:val="003755E7"/>
    <w:rsid w:val="00375811"/>
    <w:rsid w:val="00376306"/>
    <w:rsid w:val="003765EF"/>
    <w:rsid w:val="00377443"/>
    <w:rsid w:val="00377618"/>
    <w:rsid w:val="00377651"/>
    <w:rsid w:val="00377F8E"/>
    <w:rsid w:val="003801DB"/>
    <w:rsid w:val="00380A81"/>
    <w:rsid w:val="00380EFB"/>
    <w:rsid w:val="00381385"/>
    <w:rsid w:val="0038140B"/>
    <w:rsid w:val="0038176C"/>
    <w:rsid w:val="00381983"/>
    <w:rsid w:val="00381C50"/>
    <w:rsid w:val="00382087"/>
    <w:rsid w:val="00382225"/>
    <w:rsid w:val="00382C4B"/>
    <w:rsid w:val="00383313"/>
    <w:rsid w:val="003835F7"/>
    <w:rsid w:val="0038373C"/>
    <w:rsid w:val="003837A7"/>
    <w:rsid w:val="00383D5D"/>
    <w:rsid w:val="00384805"/>
    <w:rsid w:val="00384911"/>
    <w:rsid w:val="00384B86"/>
    <w:rsid w:val="003865A3"/>
    <w:rsid w:val="00386A6A"/>
    <w:rsid w:val="00386B98"/>
    <w:rsid w:val="00387069"/>
    <w:rsid w:val="003871F8"/>
    <w:rsid w:val="00387E36"/>
    <w:rsid w:val="00387E3E"/>
    <w:rsid w:val="003903F4"/>
    <w:rsid w:val="00390CBD"/>
    <w:rsid w:val="003910DF"/>
    <w:rsid w:val="00391EE9"/>
    <w:rsid w:val="0039220C"/>
    <w:rsid w:val="00392828"/>
    <w:rsid w:val="00394AE8"/>
    <w:rsid w:val="00395869"/>
    <w:rsid w:val="00396C40"/>
    <w:rsid w:val="00396C49"/>
    <w:rsid w:val="003972CC"/>
    <w:rsid w:val="00397A8D"/>
    <w:rsid w:val="00397C36"/>
    <w:rsid w:val="00397F19"/>
    <w:rsid w:val="003A01C8"/>
    <w:rsid w:val="003A0C9E"/>
    <w:rsid w:val="003A28C6"/>
    <w:rsid w:val="003A2C17"/>
    <w:rsid w:val="003A337A"/>
    <w:rsid w:val="003A48CE"/>
    <w:rsid w:val="003A4E89"/>
    <w:rsid w:val="003A56AB"/>
    <w:rsid w:val="003A5E9C"/>
    <w:rsid w:val="003A611C"/>
    <w:rsid w:val="003B016F"/>
    <w:rsid w:val="003B018C"/>
    <w:rsid w:val="003B03D6"/>
    <w:rsid w:val="003B05D9"/>
    <w:rsid w:val="003B0DFA"/>
    <w:rsid w:val="003B11A2"/>
    <w:rsid w:val="003B1258"/>
    <w:rsid w:val="003B2111"/>
    <w:rsid w:val="003B23D4"/>
    <w:rsid w:val="003B2833"/>
    <w:rsid w:val="003B2ACA"/>
    <w:rsid w:val="003B2FCC"/>
    <w:rsid w:val="003B420C"/>
    <w:rsid w:val="003B4870"/>
    <w:rsid w:val="003B508B"/>
    <w:rsid w:val="003B527B"/>
    <w:rsid w:val="003B58D3"/>
    <w:rsid w:val="003B5C6C"/>
    <w:rsid w:val="003B5E17"/>
    <w:rsid w:val="003B793A"/>
    <w:rsid w:val="003C0859"/>
    <w:rsid w:val="003C0E55"/>
    <w:rsid w:val="003C0F78"/>
    <w:rsid w:val="003C0F7F"/>
    <w:rsid w:val="003C1DF2"/>
    <w:rsid w:val="003C207B"/>
    <w:rsid w:val="003C2734"/>
    <w:rsid w:val="003C280B"/>
    <w:rsid w:val="003C2F95"/>
    <w:rsid w:val="003C32A9"/>
    <w:rsid w:val="003C3712"/>
    <w:rsid w:val="003C3939"/>
    <w:rsid w:val="003C395F"/>
    <w:rsid w:val="003C3B20"/>
    <w:rsid w:val="003C3C43"/>
    <w:rsid w:val="003C3DF2"/>
    <w:rsid w:val="003C4113"/>
    <w:rsid w:val="003C41D8"/>
    <w:rsid w:val="003C478B"/>
    <w:rsid w:val="003C4831"/>
    <w:rsid w:val="003C5B28"/>
    <w:rsid w:val="003C669D"/>
    <w:rsid w:val="003C6E71"/>
    <w:rsid w:val="003C6FC5"/>
    <w:rsid w:val="003C780A"/>
    <w:rsid w:val="003C7CF4"/>
    <w:rsid w:val="003C7E4F"/>
    <w:rsid w:val="003D0A8D"/>
    <w:rsid w:val="003D0B74"/>
    <w:rsid w:val="003D16E4"/>
    <w:rsid w:val="003D182A"/>
    <w:rsid w:val="003D2907"/>
    <w:rsid w:val="003D3251"/>
    <w:rsid w:val="003D33C0"/>
    <w:rsid w:val="003D36B5"/>
    <w:rsid w:val="003D426E"/>
    <w:rsid w:val="003D485B"/>
    <w:rsid w:val="003D5D67"/>
    <w:rsid w:val="003D5F18"/>
    <w:rsid w:val="003D6957"/>
    <w:rsid w:val="003D6DE3"/>
    <w:rsid w:val="003D75CD"/>
    <w:rsid w:val="003D7711"/>
    <w:rsid w:val="003D7C60"/>
    <w:rsid w:val="003E0919"/>
    <w:rsid w:val="003E1AB2"/>
    <w:rsid w:val="003E1B9B"/>
    <w:rsid w:val="003E1FFF"/>
    <w:rsid w:val="003E20FA"/>
    <w:rsid w:val="003E22ED"/>
    <w:rsid w:val="003E353B"/>
    <w:rsid w:val="003E35C8"/>
    <w:rsid w:val="003E393D"/>
    <w:rsid w:val="003E3BF8"/>
    <w:rsid w:val="003E461E"/>
    <w:rsid w:val="003E49D0"/>
    <w:rsid w:val="003E4FFC"/>
    <w:rsid w:val="003E5069"/>
    <w:rsid w:val="003E50C9"/>
    <w:rsid w:val="003E6866"/>
    <w:rsid w:val="003E6899"/>
    <w:rsid w:val="003E69FA"/>
    <w:rsid w:val="003E6DAB"/>
    <w:rsid w:val="003E6FAC"/>
    <w:rsid w:val="003E7AB0"/>
    <w:rsid w:val="003E7F47"/>
    <w:rsid w:val="003F0709"/>
    <w:rsid w:val="003F11FC"/>
    <w:rsid w:val="003F12D9"/>
    <w:rsid w:val="003F1540"/>
    <w:rsid w:val="003F18DF"/>
    <w:rsid w:val="003F29A8"/>
    <w:rsid w:val="003F306C"/>
    <w:rsid w:val="003F3601"/>
    <w:rsid w:val="003F3898"/>
    <w:rsid w:val="003F39D0"/>
    <w:rsid w:val="003F40AA"/>
    <w:rsid w:val="003F53B4"/>
    <w:rsid w:val="003F58D5"/>
    <w:rsid w:val="003F5EA4"/>
    <w:rsid w:val="003F6062"/>
    <w:rsid w:val="003F6AE4"/>
    <w:rsid w:val="003F717A"/>
    <w:rsid w:val="003F7F2F"/>
    <w:rsid w:val="00400725"/>
    <w:rsid w:val="00401076"/>
    <w:rsid w:val="0040343F"/>
    <w:rsid w:val="004034D0"/>
    <w:rsid w:val="004042FC"/>
    <w:rsid w:val="004048C9"/>
    <w:rsid w:val="00405381"/>
    <w:rsid w:val="0040626F"/>
    <w:rsid w:val="004069BB"/>
    <w:rsid w:val="004074DA"/>
    <w:rsid w:val="0040763B"/>
    <w:rsid w:val="004079BB"/>
    <w:rsid w:val="00407C59"/>
    <w:rsid w:val="004104D2"/>
    <w:rsid w:val="00410543"/>
    <w:rsid w:val="00411850"/>
    <w:rsid w:val="00411F61"/>
    <w:rsid w:val="00412626"/>
    <w:rsid w:val="0041306B"/>
    <w:rsid w:val="0041386D"/>
    <w:rsid w:val="00414C8B"/>
    <w:rsid w:val="004152B1"/>
    <w:rsid w:val="00415AAF"/>
    <w:rsid w:val="00415F1C"/>
    <w:rsid w:val="00416146"/>
    <w:rsid w:val="00417855"/>
    <w:rsid w:val="00417CA7"/>
    <w:rsid w:val="0042078C"/>
    <w:rsid w:val="00420946"/>
    <w:rsid w:val="00422714"/>
    <w:rsid w:val="0042291F"/>
    <w:rsid w:val="0042408E"/>
    <w:rsid w:val="00424620"/>
    <w:rsid w:val="004258A2"/>
    <w:rsid w:val="00425E2E"/>
    <w:rsid w:val="004261AE"/>
    <w:rsid w:val="00426697"/>
    <w:rsid w:val="00427988"/>
    <w:rsid w:val="00427F92"/>
    <w:rsid w:val="00430490"/>
    <w:rsid w:val="0043059F"/>
    <w:rsid w:val="004307A9"/>
    <w:rsid w:val="00431A1A"/>
    <w:rsid w:val="004327C0"/>
    <w:rsid w:val="00432CC4"/>
    <w:rsid w:val="00432FF5"/>
    <w:rsid w:val="004334EE"/>
    <w:rsid w:val="0043376C"/>
    <w:rsid w:val="00434192"/>
    <w:rsid w:val="00435318"/>
    <w:rsid w:val="00435ACC"/>
    <w:rsid w:val="0043647E"/>
    <w:rsid w:val="00437886"/>
    <w:rsid w:val="00437CBF"/>
    <w:rsid w:val="004404B9"/>
    <w:rsid w:val="004407A5"/>
    <w:rsid w:val="004410F1"/>
    <w:rsid w:val="00441877"/>
    <w:rsid w:val="00441AED"/>
    <w:rsid w:val="00442242"/>
    <w:rsid w:val="004422BD"/>
    <w:rsid w:val="00443B20"/>
    <w:rsid w:val="00444020"/>
    <w:rsid w:val="0044490A"/>
    <w:rsid w:val="004461C9"/>
    <w:rsid w:val="00447020"/>
    <w:rsid w:val="00450359"/>
    <w:rsid w:val="00451663"/>
    <w:rsid w:val="00451E82"/>
    <w:rsid w:val="004523B6"/>
    <w:rsid w:val="00453EBE"/>
    <w:rsid w:val="00454852"/>
    <w:rsid w:val="0045551B"/>
    <w:rsid w:val="00455C0A"/>
    <w:rsid w:val="00456216"/>
    <w:rsid w:val="00456FA4"/>
    <w:rsid w:val="004574E2"/>
    <w:rsid w:val="004603D0"/>
    <w:rsid w:val="004605CA"/>
    <w:rsid w:val="00461452"/>
    <w:rsid w:val="00461682"/>
    <w:rsid w:val="00461D6B"/>
    <w:rsid w:val="004624D1"/>
    <w:rsid w:val="004629D9"/>
    <w:rsid w:val="00462BDB"/>
    <w:rsid w:val="004633BE"/>
    <w:rsid w:val="00464131"/>
    <w:rsid w:val="004642A2"/>
    <w:rsid w:val="00464DCD"/>
    <w:rsid w:val="0046508C"/>
    <w:rsid w:val="004662DC"/>
    <w:rsid w:val="00466433"/>
    <w:rsid w:val="00467FA8"/>
    <w:rsid w:val="00470A3E"/>
    <w:rsid w:val="00471636"/>
    <w:rsid w:val="0047233F"/>
    <w:rsid w:val="00472DDB"/>
    <w:rsid w:val="004734A9"/>
    <w:rsid w:val="00473998"/>
    <w:rsid w:val="00473D2E"/>
    <w:rsid w:val="00473EFB"/>
    <w:rsid w:val="00473F24"/>
    <w:rsid w:val="00473FE3"/>
    <w:rsid w:val="0047427D"/>
    <w:rsid w:val="00475A61"/>
    <w:rsid w:val="00475E1A"/>
    <w:rsid w:val="0048034D"/>
    <w:rsid w:val="004803EA"/>
    <w:rsid w:val="00480DA0"/>
    <w:rsid w:val="00481CE9"/>
    <w:rsid w:val="004829FF"/>
    <w:rsid w:val="00483366"/>
    <w:rsid w:val="0048406A"/>
    <w:rsid w:val="00484806"/>
    <w:rsid w:val="004855C4"/>
    <w:rsid w:val="004857CE"/>
    <w:rsid w:val="00485E14"/>
    <w:rsid w:val="00485E2B"/>
    <w:rsid w:val="00485EEE"/>
    <w:rsid w:val="00486140"/>
    <w:rsid w:val="00486467"/>
    <w:rsid w:val="004870CB"/>
    <w:rsid w:val="004871C3"/>
    <w:rsid w:val="00487626"/>
    <w:rsid w:val="0048788B"/>
    <w:rsid w:val="00490B93"/>
    <w:rsid w:val="00491CEB"/>
    <w:rsid w:val="00491F5F"/>
    <w:rsid w:val="00492E7A"/>
    <w:rsid w:val="004937A3"/>
    <w:rsid w:val="004939D7"/>
    <w:rsid w:val="00494655"/>
    <w:rsid w:val="00494B38"/>
    <w:rsid w:val="00494E25"/>
    <w:rsid w:val="004959E9"/>
    <w:rsid w:val="00495D66"/>
    <w:rsid w:val="00496387"/>
    <w:rsid w:val="0049674C"/>
    <w:rsid w:val="004968D9"/>
    <w:rsid w:val="00496A14"/>
    <w:rsid w:val="00496B11"/>
    <w:rsid w:val="004A0156"/>
    <w:rsid w:val="004A051A"/>
    <w:rsid w:val="004A0848"/>
    <w:rsid w:val="004A0879"/>
    <w:rsid w:val="004A09BF"/>
    <w:rsid w:val="004A0A1E"/>
    <w:rsid w:val="004A15EC"/>
    <w:rsid w:val="004A1D70"/>
    <w:rsid w:val="004A225F"/>
    <w:rsid w:val="004A296D"/>
    <w:rsid w:val="004A318D"/>
    <w:rsid w:val="004A36EB"/>
    <w:rsid w:val="004A5258"/>
    <w:rsid w:val="004A5A71"/>
    <w:rsid w:val="004A5EAA"/>
    <w:rsid w:val="004A6344"/>
    <w:rsid w:val="004A67CD"/>
    <w:rsid w:val="004A6F91"/>
    <w:rsid w:val="004A783B"/>
    <w:rsid w:val="004A7867"/>
    <w:rsid w:val="004B0503"/>
    <w:rsid w:val="004B08DB"/>
    <w:rsid w:val="004B1C08"/>
    <w:rsid w:val="004B2BED"/>
    <w:rsid w:val="004B30EE"/>
    <w:rsid w:val="004B31D7"/>
    <w:rsid w:val="004B3E75"/>
    <w:rsid w:val="004B42FA"/>
    <w:rsid w:val="004B673B"/>
    <w:rsid w:val="004B697A"/>
    <w:rsid w:val="004B7835"/>
    <w:rsid w:val="004C10BA"/>
    <w:rsid w:val="004C1B77"/>
    <w:rsid w:val="004C1F61"/>
    <w:rsid w:val="004C2346"/>
    <w:rsid w:val="004C3BB5"/>
    <w:rsid w:val="004C3EDC"/>
    <w:rsid w:val="004C44CB"/>
    <w:rsid w:val="004C4556"/>
    <w:rsid w:val="004C469C"/>
    <w:rsid w:val="004C4814"/>
    <w:rsid w:val="004C4D64"/>
    <w:rsid w:val="004C4ED6"/>
    <w:rsid w:val="004C50AA"/>
    <w:rsid w:val="004C56CA"/>
    <w:rsid w:val="004C5FBC"/>
    <w:rsid w:val="004C63B9"/>
    <w:rsid w:val="004C64E2"/>
    <w:rsid w:val="004C696D"/>
    <w:rsid w:val="004C699B"/>
    <w:rsid w:val="004C6D78"/>
    <w:rsid w:val="004C6E3D"/>
    <w:rsid w:val="004C77CA"/>
    <w:rsid w:val="004C7ADF"/>
    <w:rsid w:val="004C7D5C"/>
    <w:rsid w:val="004D010E"/>
    <w:rsid w:val="004D0EEA"/>
    <w:rsid w:val="004D1A6D"/>
    <w:rsid w:val="004D2240"/>
    <w:rsid w:val="004D23E8"/>
    <w:rsid w:val="004D2464"/>
    <w:rsid w:val="004D26D0"/>
    <w:rsid w:val="004D3384"/>
    <w:rsid w:val="004D38D0"/>
    <w:rsid w:val="004D41D0"/>
    <w:rsid w:val="004D4F5A"/>
    <w:rsid w:val="004D54E5"/>
    <w:rsid w:val="004D55B2"/>
    <w:rsid w:val="004D5B61"/>
    <w:rsid w:val="004D63B8"/>
    <w:rsid w:val="004D6F82"/>
    <w:rsid w:val="004D709F"/>
    <w:rsid w:val="004E0209"/>
    <w:rsid w:val="004E02C1"/>
    <w:rsid w:val="004E06F4"/>
    <w:rsid w:val="004E190D"/>
    <w:rsid w:val="004E1979"/>
    <w:rsid w:val="004E1EC8"/>
    <w:rsid w:val="004E2769"/>
    <w:rsid w:val="004E280C"/>
    <w:rsid w:val="004E2A43"/>
    <w:rsid w:val="004E2D91"/>
    <w:rsid w:val="004E32DC"/>
    <w:rsid w:val="004E40EB"/>
    <w:rsid w:val="004E5050"/>
    <w:rsid w:val="004E5AD0"/>
    <w:rsid w:val="004E6101"/>
    <w:rsid w:val="004E6563"/>
    <w:rsid w:val="004E691D"/>
    <w:rsid w:val="004E6FBE"/>
    <w:rsid w:val="004E7280"/>
    <w:rsid w:val="004E75D2"/>
    <w:rsid w:val="004E7645"/>
    <w:rsid w:val="004F0FB0"/>
    <w:rsid w:val="004F0FCD"/>
    <w:rsid w:val="004F1132"/>
    <w:rsid w:val="004F118E"/>
    <w:rsid w:val="004F1BC0"/>
    <w:rsid w:val="004F229B"/>
    <w:rsid w:val="004F2829"/>
    <w:rsid w:val="004F348E"/>
    <w:rsid w:val="004F387A"/>
    <w:rsid w:val="004F414F"/>
    <w:rsid w:val="004F452D"/>
    <w:rsid w:val="004F4973"/>
    <w:rsid w:val="004F51B7"/>
    <w:rsid w:val="004F57BC"/>
    <w:rsid w:val="004F5F02"/>
    <w:rsid w:val="004F6296"/>
    <w:rsid w:val="004F6973"/>
    <w:rsid w:val="004F756E"/>
    <w:rsid w:val="0050034D"/>
    <w:rsid w:val="0050151F"/>
    <w:rsid w:val="00502874"/>
    <w:rsid w:val="005031E1"/>
    <w:rsid w:val="00503558"/>
    <w:rsid w:val="00504AEC"/>
    <w:rsid w:val="00504FC1"/>
    <w:rsid w:val="00504FEA"/>
    <w:rsid w:val="005051E1"/>
    <w:rsid w:val="00505803"/>
    <w:rsid w:val="005075B5"/>
    <w:rsid w:val="00507AE7"/>
    <w:rsid w:val="00511363"/>
    <w:rsid w:val="005115B0"/>
    <w:rsid w:val="005120BA"/>
    <w:rsid w:val="00512E2C"/>
    <w:rsid w:val="0051330B"/>
    <w:rsid w:val="00513C7B"/>
    <w:rsid w:val="0051461C"/>
    <w:rsid w:val="005149D1"/>
    <w:rsid w:val="00514A3B"/>
    <w:rsid w:val="0051556C"/>
    <w:rsid w:val="005158EC"/>
    <w:rsid w:val="00515ECB"/>
    <w:rsid w:val="00516129"/>
    <w:rsid w:val="005164F7"/>
    <w:rsid w:val="005174F1"/>
    <w:rsid w:val="00517841"/>
    <w:rsid w:val="00517DC3"/>
    <w:rsid w:val="00520056"/>
    <w:rsid w:val="00521A27"/>
    <w:rsid w:val="00522C02"/>
    <w:rsid w:val="00523CA7"/>
    <w:rsid w:val="00523E12"/>
    <w:rsid w:val="00523F3F"/>
    <w:rsid w:val="00524216"/>
    <w:rsid w:val="005247EE"/>
    <w:rsid w:val="00524BE8"/>
    <w:rsid w:val="00525541"/>
    <w:rsid w:val="005255E4"/>
    <w:rsid w:val="005263A4"/>
    <w:rsid w:val="0052648F"/>
    <w:rsid w:val="0052681F"/>
    <w:rsid w:val="00526FAA"/>
    <w:rsid w:val="00527521"/>
    <w:rsid w:val="00527608"/>
    <w:rsid w:val="005277ED"/>
    <w:rsid w:val="0052793A"/>
    <w:rsid w:val="00527B92"/>
    <w:rsid w:val="00527B96"/>
    <w:rsid w:val="00527C30"/>
    <w:rsid w:val="00527F88"/>
    <w:rsid w:val="00527FC0"/>
    <w:rsid w:val="005300E0"/>
    <w:rsid w:val="00530C58"/>
    <w:rsid w:val="005314D3"/>
    <w:rsid w:val="00531543"/>
    <w:rsid w:val="00531769"/>
    <w:rsid w:val="00531979"/>
    <w:rsid w:val="00531F04"/>
    <w:rsid w:val="00532655"/>
    <w:rsid w:val="0053278D"/>
    <w:rsid w:val="00533751"/>
    <w:rsid w:val="00533B32"/>
    <w:rsid w:val="00533CF4"/>
    <w:rsid w:val="00534212"/>
    <w:rsid w:val="00534619"/>
    <w:rsid w:val="00534D5A"/>
    <w:rsid w:val="00535158"/>
    <w:rsid w:val="00536124"/>
    <w:rsid w:val="005362CA"/>
    <w:rsid w:val="005362ED"/>
    <w:rsid w:val="00536D33"/>
    <w:rsid w:val="00540278"/>
    <w:rsid w:val="00540681"/>
    <w:rsid w:val="0054074D"/>
    <w:rsid w:val="00540B42"/>
    <w:rsid w:val="00540B7C"/>
    <w:rsid w:val="00540F9D"/>
    <w:rsid w:val="0054231A"/>
    <w:rsid w:val="00542AE0"/>
    <w:rsid w:val="00542C8D"/>
    <w:rsid w:val="00543723"/>
    <w:rsid w:val="00543CA9"/>
    <w:rsid w:val="00543DB4"/>
    <w:rsid w:val="00545843"/>
    <w:rsid w:val="00545D95"/>
    <w:rsid w:val="00545ECC"/>
    <w:rsid w:val="00546524"/>
    <w:rsid w:val="005466DF"/>
    <w:rsid w:val="0055170D"/>
    <w:rsid w:val="00553404"/>
    <w:rsid w:val="005537AC"/>
    <w:rsid w:val="0055437C"/>
    <w:rsid w:val="0055439E"/>
    <w:rsid w:val="005545AF"/>
    <w:rsid w:val="00554D35"/>
    <w:rsid w:val="005551E0"/>
    <w:rsid w:val="00555E55"/>
    <w:rsid w:val="005560AB"/>
    <w:rsid w:val="00557254"/>
    <w:rsid w:val="005577A5"/>
    <w:rsid w:val="00557FB2"/>
    <w:rsid w:val="00560334"/>
    <w:rsid w:val="005604F2"/>
    <w:rsid w:val="00560846"/>
    <w:rsid w:val="00561712"/>
    <w:rsid w:val="005617F6"/>
    <w:rsid w:val="00561D9A"/>
    <w:rsid w:val="00563296"/>
    <w:rsid w:val="005635E4"/>
    <w:rsid w:val="005637C2"/>
    <w:rsid w:val="00564526"/>
    <w:rsid w:val="00564602"/>
    <w:rsid w:val="00564FF4"/>
    <w:rsid w:val="00565013"/>
    <w:rsid w:val="00565992"/>
    <w:rsid w:val="005659D5"/>
    <w:rsid w:val="005668E8"/>
    <w:rsid w:val="00566ABC"/>
    <w:rsid w:val="00567616"/>
    <w:rsid w:val="00567642"/>
    <w:rsid w:val="0056794B"/>
    <w:rsid w:val="005709D8"/>
    <w:rsid w:val="005718EF"/>
    <w:rsid w:val="005722D3"/>
    <w:rsid w:val="00572389"/>
    <w:rsid w:val="00572896"/>
    <w:rsid w:val="00573E7A"/>
    <w:rsid w:val="005750C2"/>
    <w:rsid w:val="00576553"/>
    <w:rsid w:val="005767D6"/>
    <w:rsid w:val="00576E35"/>
    <w:rsid w:val="005772BB"/>
    <w:rsid w:val="00577A78"/>
    <w:rsid w:val="00577C56"/>
    <w:rsid w:val="00577FE7"/>
    <w:rsid w:val="005802FC"/>
    <w:rsid w:val="00580B5B"/>
    <w:rsid w:val="00580F4A"/>
    <w:rsid w:val="005810DE"/>
    <w:rsid w:val="005816DB"/>
    <w:rsid w:val="00581D85"/>
    <w:rsid w:val="0058215C"/>
    <w:rsid w:val="0058261E"/>
    <w:rsid w:val="0058278C"/>
    <w:rsid w:val="0058295B"/>
    <w:rsid w:val="00582DE6"/>
    <w:rsid w:val="00584BF1"/>
    <w:rsid w:val="00584CC7"/>
    <w:rsid w:val="00584DA2"/>
    <w:rsid w:val="00585193"/>
    <w:rsid w:val="00585771"/>
    <w:rsid w:val="005858AC"/>
    <w:rsid w:val="005867B2"/>
    <w:rsid w:val="00586F33"/>
    <w:rsid w:val="005872CC"/>
    <w:rsid w:val="0058743A"/>
    <w:rsid w:val="005874E6"/>
    <w:rsid w:val="00587D97"/>
    <w:rsid w:val="00590730"/>
    <w:rsid w:val="005907D5"/>
    <w:rsid w:val="0059081B"/>
    <w:rsid w:val="005925F3"/>
    <w:rsid w:val="00592EB6"/>
    <w:rsid w:val="00593F63"/>
    <w:rsid w:val="0059417F"/>
    <w:rsid w:val="005948EB"/>
    <w:rsid w:val="00594B32"/>
    <w:rsid w:val="00594F10"/>
    <w:rsid w:val="00595AED"/>
    <w:rsid w:val="00595B3C"/>
    <w:rsid w:val="00597538"/>
    <w:rsid w:val="00597BCB"/>
    <w:rsid w:val="005A04C0"/>
    <w:rsid w:val="005A07E2"/>
    <w:rsid w:val="005A0925"/>
    <w:rsid w:val="005A14D0"/>
    <w:rsid w:val="005A229E"/>
    <w:rsid w:val="005A2F16"/>
    <w:rsid w:val="005A3276"/>
    <w:rsid w:val="005A3799"/>
    <w:rsid w:val="005A508F"/>
    <w:rsid w:val="005A53F3"/>
    <w:rsid w:val="005A5D82"/>
    <w:rsid w:val="005A5D88"/>
    <w:rsid w:val="005A5E53"/>
    <w:rsid w:val="005A7201"/>
    <w:rsid w:val="005A746C"/>
    <w:rsid w:val="005A750F"/>
    <w:rsid w:val="005A78B6"/>
    <w:rsid w:val="005A7A30"/>
    <w:rsid w:val="005A7BD8"/>
    <w:rsid w:val="005B01C2"/>
    <w:rsid w:val="005B03B3"/>
    <w:rsid w:val="005B0546"/>
    <w:rsid w:val="005B22E8"/>
    <w:rsid w:val="005B2DA9"/>
    <w:rsid w:val="005B31F1"/>
    <w:rsid w:val="005B32FC"/>
    <w:rsid w:val="005B37B6"/>
    <w:rsid w:val="005B4A16"/>
    <w:rsid w:val="005B4CDB"/>
    <w:rsid w:val="005B52FA"/>
    <w:rsid w:val="005B5424"/>
    <w:rsid w:val="005B5BCD"/>
    <w:rsid w:val="005B616A"/>
    <w:rsid w:val="005B6C32"/>
    <w:rsid w:val="005B6E3B"/>
    <w:rsid w:val="005B7CE2"/>
    <w:rsid w:val="005C02A4"/>
    <w:rsid w:val="005C06CA"/>
    <w:rsid w:val="005C0751"/>
    <w:rsid w:val="005C1366"/>
    <w:rsid w:val="005C2F7F"/>
    <w:rsid w:val="005C3FC6"/>
    <w:rsid w:val="005C40A1"/>
    <w:rsid w:val="005C4F60"/>
    <w:rsid w:val="005C4F9F"/>
    <w:rsid w:val="005C5198"/>
    <w:rsid w:val="005C5286"/>
    <w:rsid w:val="005C57A1"/>
    <w:rsid w:val="005C6304"/>
    <w:rsid w:val="005C6FCD"/>
    <w:rsid w:val="005C7241"/>
    <w:rsid w:val="005C7A86"/>
    <w:rsid w:val="005D0208"/>
    <w:rsid w:val="005D0228"/>
    <w:rsid w:val="005D047A"/>
    <w:rsid w:val="005D05C3"/>
    <w:rsid w:val="005D0642"/>
    <w:rsid w:val="005D095D"/>
    <w:rsid w:val="005D103D"/>
    <w:rsid w:val="005D14EE"/>
    <w:rsid w:val="005D1DEF"/>
    <w:rsid w:val="005D23CD"/>
    <w:rsid w:val="005D24E9"/>
    <w:rsid w:val="005D2B70"/>
    <w:rsid w:val="005D2BFF"/>
    <w:rsid w:val="005D2E1E"/>
    <w:rsid w:val="005D2F68"/>
    <w:rsid w:val="005D310C"/>
    <w:rsid w:val="005D3271"/>
    <w:rsid w:val="005D38CA"/>
    <w:rsid w:val="005D3AAC"/>
    <w:rsid w:val="005D3D27"/>
    <w:rsid w:val="005D5956"/>
    <w:rsid w:val="005D5EC1"/>
    <w:rsid w:val="005D7098"/>
    <w:rsid w:val="005D78CC"/>
    <w:rsid w:val="005D7A08"/>
    <w:rsid w:val="005D7F9D"/>
    <w:rsid w:val="005E0645"/>
    <w:rsid w:val="005E08A7"/>
    <w:rsid w:val="005E1541"/>
    <w:rsid w:val="005E15F4"/>
    <w:rsid w:val="005E1DEB"/>
    <w:rsid w:val="005E2F34"/>
    <w:rsid w:val="005E3460"/>
    <w:rsid w:val="005E3591"/>
    <w:rsid w:val="005E3716"/>
    <w:rsid w:val="005E394B"/>
    <w:rsid w:val="005E3E51"/>
    <w:rsid w:val="005E406D"/>
    <w:rsid w:val="005E42BF"/>
    <w:rsid w:val="005E430E"/>
    <w:rsid w:val="005E4A44"/>
    <w:rsid w:val="005E4CED"/>
    <w:rsid w:val="005E4FAD"/>
    <w:rsid w:val="005E53B8"/>
    <w:rsid w:val="005E5B13"/>
    <w:rsid w:val="005E6125"/>
    <w:rsid w:val="005E63FC"/>
    <w:rsid w:val="005E67E9"/>
    <w:rsid w:val="005E6983"/>
    <w:rsid w:val="005F0B8C"/>
    <w:rsid w:val="005F1309"/>
    <w:rsid w:val="005F1397"/>
    <w:rsid w:val="005F1F11"/>
    <w:rsid w:val="005F1FBA"/>
    <w:rsid w:val="005F23DE"/>
    <w:rsid w:val="005F2865"/>
    <w:rsid w:val="005F2968"/>
    <w:rsid w:val="005F2C33"/>
    <w:rsid w:val="005F2D63"/>
    <w:rsid w:val="005F3037"/>
    <w:rsid w:val="005F3840"/>
    <w:rsid w:val="005F436D"/>
    <w:rsid w:val="005F4481"/>
    <w:rsid w:val="005F451B"/>
    <w:rsid w:val="005F5CE0"/>
    <w:rsid w:val="005F6221"/>
    <w:rsid w:val="005F635A"/>
    <w:rsid w:val="005F698F"/>
    <w:rsid w:val="005F6A15"/>
    <w:rsid w:val="0060057F"/>
    <w:rsid w:val="006007F8"/>
    <w:rsid w:val="00600929"/>
    <w:rsid w:val="00601743"/>
    <w:rsid w:val="00601956"/>
    <w:rsid w:val="00602093"/>
    <w:rsid w:val="00602D60"/>
    <w:rsid w:val="00603000"/>
    <w:rsid w:val="00603613"/>
    <w:rsid w:val="00605037"/>
    <w:rsid w:val="0060528E"/>
    <w:rsid w:val="0060596C"/>
    <w:rsid w:val="00605D74"/>
    <w:rsid w:val="0060606A"/>
    <w:rsid w:val="00606136"/>
    <w:rsid w:val="0060635B"/>
    <w:rsid w:val="00606451"/>
    <w:rsid w:val="00606780"/>
    <w:rsid w:val="00606A02"/>
    <w:rsid w:val="00606AF6"/>
    <w:rsid w:val="00607305"/>
    <w:rsid w:val="006075ED"/>
    <w:rsid w:val="00607FC1"/>
    <w:rsid w:val="00610DDA"/>
    <w:rsid w:val="00611378"/>
    <w:rsid w:val="00611F61"/>
    <w:rsid w:val="006122CD"/>
    <w:rsid w:val="006122F3"/>
    <w:rsid w:val="0061330D"/>
    <w:rsid w:val="006136F3"/>
    <w:rsid w:val="0061391E"/>
    <w:rsid w:val="00613D7F"/>
    <w:rsid w:val="00614482"/>
    <w:rsid w:val="006145D5"/>
    <w:rsid w:val="0061535D"/>
    <w:rsid w:val="00615410"/>
    <w:rsid w:val="00620D20"/>
    <w:rsid w:val="00620FDC"/>
    <w:rsid w:val="006214AE"/>
    <w:rsid w:val="00621721"/>
    <w:rsid w:val="00621B74"/>
    <w:rsid w:val="00621FC7"/>
    <w:rsid w:val="00621FD7"/>
    <w:rsid w:val="006223D2"/>
    <w:rsid w:val="00622A73"/>
    <w:rsid w:val="00622EB1"/>
    <w:rsid w:val="00625049"/>
    <w:rsid w:val="006252CF"/>
    <w:rsid w:val="006260C6"/>
    <w:rsid w:val="006300E1"/>
    <w:rsid w:val="006300FD"/>
    <w:rsid w:val="00630BA3"/>
    <w:rsid w:val="00630C1F"/>
    <w:rsid w:val="00630FE1"/>
    <w:rsid w:val="0063136B"/>
    <w:rsid w:val="00631559"/>
    <w:rsid w:val="006319CD"/>
    <w:rsid w:val="006322CF"/>
    <w:rsid w:val="006327BA"/>
    <w:rsid w:val="006329A9"/>
    <w:rsid w:val="00632B72"/>
    <w:rsid w:val="00632E9C"/>
    <w:rsid w:val="00633762"/>
    <w:rsid w:val="00633823"/>
    <w:rsid w:val="00633D79"/>
    <w:rsid w:val="00633DC6"/>
    <w:rsid w:val="0063444A"/>
    <w:rsid w:val="006348A5"/>
    <w:rsid w:val="00634DD1"/>
    <w:rsid w:val="00635F03"/>
    <w:rsid w:val="00636162"/>
    <w:rsid w:val="006363DB"/>
    <w:rsid w:val="006365D9"/>
    <w:rsid w:val="0063799A"/>
    <w:rsid w:val="0064034E"/>
    <w:rsid w:val="00640CAD"/>
    <w:rsid w:val="00641251"/>
    <w:rsid w:val="006412B2"/>
    <w:rsid w:val="00641BCF"/>
    <w:rsid w:val="00641C85"/>
    <w:rsid w:val="00641F59"/>
    <w:rsid w:val="006424F3"/>
    <w:rsid w:val="0064298A"/>
    <w:rsid w:val="00644B6D"/>
    <w:rsid w:val="00644B94"/>
    <w:rsid w:val="00644BFD"/>
    <w:rsid w:val="00645588"/>
    <w:rsid w:val="006457A9"/>
    <w:rsid w:val="00645915"/>
    <w:rsid w:val="00645A9D"/>
    <w:rsid w:val="006465A1"/>
    <w:rsid w:val="0064690F"/>
    <w:rsid w:val="00646A25"/>
    <w:rsid w:val="00646C39"/>
    <w:rsid w:val="0064781B"/>
    <w:rsid w:val="00647D91"/>
    <w:rsid w:val="00650BFC"/>
    <w:rsid w:val="00650DE7"/>
    <w:rsid w:val="006513A1"/>
    <w:rsid w:val="00651B2F"/>
    <w:rsid w:val="00651B67"/>
    <w:rsid w:val="006524CC"/>
    <w:rsid w:val="00652960"/>
    <w:rsid w:val="00652AB0"/>
    <w:rsid w:val="00652CD8"/>
    <w:rsid w:val="00652FA8"/>
    <w:rsid w:val="00653782"/>
    <w:rsid w:val="00654181"/>
    <w:rsid w:val="00654885"/>
    <w:rsid w:val="00655FED"/>
    <w:rsid w:val="00657B5A"/>
    <w:rsid w:val="00657EDA"/>
    <w:rsid w:val="00661494"/>
    <w:rsid w:val="00661B55"/>
    <w:rsid w:val="00661F59"/>
    <w:rsid w:val="00662558"/>
    <w:rsid w:val="00662C53"/>
    <w:rsid w:val="006637EC"/>
    <w:rsid w:val="00663B9A"/>
    <w:rsid w:val="0066486B"/>
    <w:rsid w:val="006648AD"/>
    <w:rsid w:val="00664A8A"/>
    <w:rsid w:val="00664F05"/>
    <w:rsid w:val="00665519"/>
    <w:rsid w:val="00665A83"/>
    <w:rsid w:val="00665B89"/>
    <w:rsid w:val="00665B9B"/>
    <w:rsid w:val="006664CE"/>
    <w:rsid w:val="00666573"/>
    <w:rsid w:val="006671D6"/>
    <w:rsid w:val="0066769C"/>
    <w:rsid w:val="00667B09"/>
    <w:rsid w:val="00667CD7"/>
    <w:rsid w:val="00667F77"/>
    <w:rsid w:val="00670105"/>
    <w:rsid w:val="00670473"/>
    <w:rsid w:val="006710CF"/>
    <w:rsid w:val="00671992"/>
    <w:rsid w:val="00671F2E"/>
    <w:rsid w:val="00672151"/>
    <w:rsid w:val="006722D9"/>
    <w:rsid w:val="00672868"/>
    <w:rsid w:val="00672A06"/>
    <w:rsid w:val="0067314A"/>
    <w:rsid w:val="00673463"/>
    <w:rsid w:val="0067443D"/>
    <w:rsid w:val="0067447C"/>
    <w:rsid w:val="00674529"/>
    <w:rsid w:val="006745A4"/>
    <w:rsid w:val="00675565"/>
    <w:rsid w:val="006757D9"/>
    <w:rsid w:val="00675B97"/>
    <w:rsid w:val="00675CB9"/>
    <w:rsid w:val="006768EE"/>
    <w:rsid w:val="00676A28"/>
    <w:rsid w:val="00677226"/>
    <w:rsid w:val="006772C5"/>
    <w:rsid w:val="00677F6B"/>
    <w:rsid w:val="0068014D"/>
    <w:rsid w:val="00680C82"/>
    <w:rsid w:val="00680FFB"/>
    <w:rsid w:val="00681857"/>
    <w:rsid w:val="0068339E"/>
    <w:rsid w:val="00683478"/>
    <w:rsid w:val="00683B24"/>
    <w:rsid w:val="00683B26"/>
    <w:rsid w:val="006841AC"/>
    <w:rsid w:val="006842DF"/>
    <w:rsid w:val="0068732A"/>
    <w:rsid w:val="006873D5"/>
    <w:rsid w:val="00687673"/>
    <w:rsid w:val="00687F1C"/>
    <w:rsid w:val="0069059B"/>
    <w:rsid w:val="00690621"/>
    <w:rsid w:val="006906F1"/>
    <w:rsid w:val="00690C57"/>
    <w:rsid w:val="006918E7"/>
    <w:rsid w:val="00692358"/>
    <w:rsid w:val="006923FE"/>
    <w:rsid w:val="006926C6"/>
    <w:rsid w:val="00692CDF"/>
    <w:rsid w:val="00693CCC"/>
    <w:rsid w:val="00693F16"/>
    <w:rsid w:val="00694C97"/>
    <w:rsid w:val="00694F21"/>
    <w:rsid w:val="00695128"/>
    <w:rsid w:val="00695EC3"/>
    <w:rsid w:val="0069631A"/>
    <w:rsid w:val="006967AE"/>
    <w:rsid w:val="00696B21"/>
    <w:rsid w:val="00696F69"/>
    <w:rsid w:val="006A125C"/>
    <w:rsid w:val="006A189C"/>
    <w:rsid w:val="006A1D1A"/>
    <w:rsid w:val="006A31F7"/>
    <w:rsid w:val="006A3DF4"/>
    <w:rsid w:val="006A3F5A"/>
    <w:rsid w:val="006A4660"/>
    <w:rsid w:val="006A4A04"/>
    <w:rsid w:val="006A4C44"/>
    <w:rsid w:val="006A57B9"/>
    <w:rsid w:val="006A5DB5"/>
    <w:rsid w:val="006A6A9F"/>
    <w:rsid w:val="006A6C12"/>
    <w:rsid w:val="006A7605"/>
    <w:rsid w:val="006A7992"/>
    <w:rsid w:val="006A799B"/>
    <w:rsid w:val="006A7C8A"/>
    <w:rsid w:val="006B0D99"/>
    <w:rsid w:val="006B1679"/>
    <w:rsid w:val="006B1DF6"/>
    <w:rsid w:val="006B2D9E"/>
    <w:rsid w:val="006B42FA"/>
    <w:rsid w:val="006B5294"/>
    <w:rsid w:val="006B5349"/>
    <w:rsid w:val="006B57F6"/>
    <w:rsid w:val="006B6156"/>
    <w:rsid w:val="006B6280"/>
    <w:rsid w:val="006B6693"/>
    <w:rsid w:val="006B6D28"/>
    <w:rsid w:val="006B7939"/>
    <w:rsid w:val="006B7C41"/>
    <w:rsid w:val="006B7CDB"/>
    <w:rsid w:val="006B7FCE"/>
    <w:rsid w:val="006C013F"/>
    <w:rsid w:val="006C0563"/>
    <w:rsid w:val="006C088E"/>
    <w:rsid w:val="006C0961"/>
    <w:rsid w:val="006C0C81"/>
    <w:rsid w:val="006C1909"/>
    <w:rsid w:val="006C1D40"/>
    <w:rsid w:val="006C2051"/>
    <w:rsid w:val="006C2196"/>
    <w:rsid w:val="006C2CCC"/>
    <w:rsid w:val="006C2FF2"/>
    <w:rsid w:val="006C33D3"/>
    <w:rsid w:val="006C3480"/>
    <w:rsid w:val="006C3609"/>
    <w:rsid w:val="006C367A"/>
    <w:rsid w:val="006C39C5"/>
    <w:rsid w:val="006C3D54"/>
    <w:rsid w:val="006C3DFA"/>
    <w:rsid w:val="006C3FB7"/>
    <w:rsid w:val="006C498D"/>
    <w:rsid w:val="006C4AC4"/>
    <w:rsid w:val="006C4EA4"/>
    <w:rsid w:val="006C5C8F"/>
    <w:rsid w:val="006C6052"/>
    <w:rsid w:val="006C63A7"/>
    <w:rsid w:val="006C644F"/>
    <w:rsid w:val="006C6496"/>
    <w:rsid w:val="006C650D"/>
    <w:rsid w:val="006C6561"/>
    <w:rsid w:val="006C6BCE"/>
    <w:rsid w:val="006C71BD"/>
    <w:rsid w:val="006C7D44"/>
    <w:rsid w:val="006D0C73"/>
    <w:rsid w:val="006D1B22"/>
    <w:rsid w:val="006D2240"/>
    <w:rsid w:val="006D2333"/>
    <w:rsid w:val="006D2F59"/>
    <w:rsid w:val="006D3200"/>
    <w:rsid w:val="006D3522"/>
    <w:rsid w:val="006D37E6"/>
    <w:rsid w:val="006D4E50"/>
    <w:rsid w:val="006D4FBF"/>
    <w:rsid w:val="006D56C6"/>
    <w:rsid w:val="006D6BFB"/>
    <w:rsid w:val="006D6D23"/>
    <w:rsid w:val="006D6EE8"/>
    <w:rsid w:val="006D71AE"/>
    <w:rsid w:val="006D76AF"/>
    <w:rsid w:val="006D7D3C"/>
    <w:rsid w:val="006D7DE8"/>
    <w:rsid w:val="006E09CC"/>
    <w:rsid w:val="006E0E90"/>
    <w:rsid w:val="006E2124"/>
    <w:rsid w:val="006E23FD"/>
    <w:rsid w:val="006E4096"/>
    <w:rsid w:val="006E4CE1"/>
    <w:rsid w:val="006E5138"/>
    <w:rsid w:val="006E5395"/>
    <w:rsid w:val="006E54A3"/>
    <w:rsid w:val="006E57A0"/>
    <w:rsid w:val="006E74D7"/>
    <w:rsid w:val="006E7B4A"/>
    <w:rsid w:val="006F1EC1"/>
    <w:rsid w:val="006F206F"/>
    <w:rsid w:val="006F2825"/>
    <w:rsid w:val="006F290F"/>
    <w:rsid w:val="006F3A73"/>
    <w:rsid w:val="006F3F71"/>
    <w:rsid w:val="006F4178"/>
    <w:rsid w:val="006F459E"/>
    <w:rsid w:val="006F511C"/>
    <w:rsid w:val="006F529C"/>
    <w:rsid w:val="006F57F8"/>
    <w:rsid w:val="006F58D1"/>
    <w:rsid w:val="006F60E1"/>
    <w:rsid w:val="006F67C3"/>
    <w:rsid w:val="006F69EC"/>
    <w:rsid w:val="006F6F8D"/>
    <w:rsid w:val="006F7562"/>
    <w:rsid w:val="006F76EF"/>
    <w:rsid w:val="006F7988"/>
    <w:rsid w:val="0070070F"/>
    <w:rsid w:val="00700BE9"/>
    <w:rsid w:val="00701677"/>
    <w:rsid w:val="007016BD"/>
    <w:rsid w:val="007018CC"/>
    <w:rsid w:val="00701C6D"/>
    <w:rsid w:val="00701DAE"/>
    <w:rsid w:val="0070254E"/>
    <w:rsid w:val="00702A69"/>
    <w:rsid w:val="00703174"/>
    <w:rsid w:val="0070342B"/>
    <w:rsid w:val="007036E3"/>
    <w:rsid w:val="00704958"/>
    <w:rsid w:val="00704B07"/>
    <w:rsid w:val="00704C64"/>
    <w:rsid w:val="007052A5"/>
    <w:rsid w:val="00705E8A"/>
    <w:rsid w:val="00706561"/>
    <w:rsid w:val="007071DD"/>
    <w:rsid w:val="0070733F"/>
    <w:rsid w:val="00707871"/>
    <w:rsid w:val="00710783"/>
    <w:rsid w:val="00710968"/>
    <w:rsid w:val="00710A5F"/>
    <w:rsid w:val="00710AE8"/>
    <w:rsid w:val="00710F4F"/>
    <w:rsid w:val="007123B8"/>
    <w:rsid w:val="00712451"/>
    <w:rsid w:val="00712849"/>
    <w:rsid w:val="00712F7F"/>
    <w:rsid w:val="00714414"/>
    <w:rsid w:val="00715511"/>
    <w:rsid w:val="007164D6"/>
    <w:rsid w:val="00716D0C"/>
    <w:rsid w:val="0071716F"/>
    <w:rsid w:val="007171BD"/>
    <w:rsid w:val="007204B8"/>
    <w:rsid w:val="00720E5B"/>
    <w:rsid w:val="0072130F"/>
    <w:rsid w:val="007238F4"/>
    <w:rsid w:val="00723C30"/>
    <w:rsid w:val="007241AB"/>
    <w:rsid w:val="007242C8"/>
    <w:rsid w:val="00724682"/>
    <w:rsid w:val="007250CC"/>
    <w:rsid w:val="007252C1"/>
    <w:rsid w:val="00725752"/>
    <w:rsid w:val="0072583F"/>
    <w:rsid w:val="0072618C"/>
    <w:rsid w:val="0072623A"/>
    <w:rsid w:val="007270F4"/>
    <w:rsid w:val="00727DCF"/>
    <w:rsid w:val="007311AC"/>
    <w:rsid w:val="00732164"/>
    <w:rsid w:val="0073222F"/>
    <w:rsid w:val="007326D6"/>
    <w:rsid w:val="00732B55"/>
    <w:rsid w:val="00732D5B"/>
    <w:rsid w:val="00732D65"/>
    <w:rsid w:val="00732F70"/>
    <w:rsid w:val="00733419"/>
    <w:rsid w:val="00733819"/>
    <w:rsid w:val="0073396D"/>
    <w:rsid w:val="00734757"/>
    <w:rsid w:val="0073485A"/>
    <w:rsid w:val="007349AC"/>
    <w:rsid w:val="007351F0"/>
    <w:rsid w:val="007359C1"/>
    <w:rsid w:val="00735F4A"/>
    <w:rsid w:val="007377F9"/>
    <w:rsid w:val="00737933"/>
    <w:rsid w:val="007402D7"/>
    <w:rsid w:val="00740F3F"/>
    <w:rsid w:val="00742439"/>
    <w:rsid w:val="00742A76"/>
    <w:rsid w:val="00742AE0"/>
    <w:rsid w:val="00743EA4"/>
    <w:rsid w:val="007440F7"/>
    <w:rsid w:val="007445C3"/>
    <w:rsid w:val="00744787"/>
    <w:rsid w:val="00745158"/>
    <w:rsid w:val="00745610"/>
    <w:rsid w:val="00746BC5"/>
    <w:rsid w:val="00747318"/>
    <w:rsid w:val="0074744A"/>
    <w:rsid w:val="007476EF"/>
    <w:rsid w:val="007479BE"/>
    <w:rsid w:val="00747B21"/>
    <w:rsid w:val="00750048"/>
    <w:rsid w:val="00750941"/>
    <w:rsid w:val="00750CF7"/>
    <w:rsid w:val="007514D6"/>
    <w:rsid w:val="007515F5"/>
    <w:rsid w:val="00751747"/>
    <w:rsid w:val="00752313"/>
    <w:rsid w:val="00752CE7"/>
    <w:rsid w:val="00752FDC"/>
    <w:rsid w:val="007530DE"/>
    <w:rsid w:val="00754238"/>
    <w:rsid w:val="00754418"/>
    <w:rsid w:val="00754C60"/>
    <w:rsid w:val="00754C85"/>
    <w:rsid w:val="00754CA9"/>
    <w:rsid w:val="007572FB"/>
    <w:rsid w:val="00757693"/>
    <w:rsid w:val="00757889"/>
    <w:rsid w:val="00757C57"/>
    <w:rsid w:val="00760195"/>
    <w:rsid w:val="00760496"/>
    <w:rsid w:val="007609FC"/>
    <w:rsid w:val="00760D3D"/>
    <w:rsid w:val="00760E1E"/>
    <w:rsid w:val="007615A2"/>
    <w:rsid w:val="00761C93"/>
    <w:rsid w:val="00762716"/>
    <w:rsid w:val="00763183"/>
    <w:rsid w:val="0076633D"/>
    <w:rsid w:val="00767AAB"/>
    <w:rsid w:val="00767B06"/>
    <w:rsid w:val="00767C6F"/>
    <w:rsid w:val="00770827"/>
    <w:rsid w:val="007708AF"/>
    <w:rsid w:val="0077184E"/>
    <w:rsid w:val="00771DDB"/>
    <w:rsid w:val="00771FF9"/>
    <w:rsid w:val="007720A2"/>
    <w:rsid w:val="00774283"/>
    <w:rsid w:val="007742F4"/>
    <w:rsid w:val="00775F5F"/>
    <w:rsid w:val="00776053"/>
    <w:rsid w:val="00776237"/>
    <w:rsid w:val="0077734E"/>
    <w:rsid w:val="007777F9"/>
    <w:rsid w:val="00777E4F"/>
    <w:rsid w:val="007802F0"/>
    <w:rsid w:val="007813EB"/>
    <w:rsid w:val="00781A70"/>
    <w:rsid w:val="007821C4"/>
    <w:rsid w:val="0078226C"/>
    <w:rsid w:val="0078267C"/>
    <w:rsid w:val="007848D7"/>
    <w:rsid w:val="00784A28"/>
    <w:rsid w:val="00784A9E"/>
    <w:rsid w:val="007852DC"/>
    <w:rsid w:val="00785CC2"/>
    <w:rsid w:val="00786EB6"/>
    <w:rsid w:val="00787A82"/>
    <w:rsid w:val="00787AE1"/>
    <w:rsid w:val="00787FA6"/>
    <w:rsid w:val="00790147"/>
    <w:rsid w:val="007908EA"/>
    <w:rsid w:val="007913FB"/>
    <w:rsid w:val="007914D6"/>
    <w:rsid w:val="00791D34"/>
    <w:rsid w:val="00791FFC"/>
    <w:rsid w:val="00792252"/>
    <w:rsid w:val="007929F3"/>
    <w:rsid w:val="00792DC6"/>
    <w:rsid w:val="00792F3E"/>
    <w:rsid w:val="00792FD0"/>
    <w:rsid w:val="0079340D"/>
    <w:rsid w:val="00794035"/>
    <w:rsid w:val="00794912"/>
    <w:rsid w:val="00794BBA"/>
    <w:rsid w:val="00795CDE"/>
    <w:rsid w:val="00795F66"/>
    <w:rsid w:val="00795F67"/>
    <w:rsid w:val="00796042"/>
    <w:rsid w:val="0079635A"/>
    <w:rsid w:val="007963A1"/>
    <w:rsid w:val="00796622"/>
    <w:rsid w:val="007A007F"/>
    <w:rsid w:val="007A022D"/>
    <w:rsid w:val="007A0DDB"/>
    <w:rsid w:val="007A11C3"/>
    <w:rsid w:val="007A2B57"/>
    <w:rsid w:val="007A2B72"/>
    <w:rsid w:val="007A2E41"/>
    <w:rsid w:val="007A3D8E"/>
    <w:rsid w:val="007A3E09"/>
    <w:rsid w:val="007A3FBD"/>
    <w:rsid w:val="007A41BD"/>
    <w:rsid w:val="007A4C7F"/>
    <w:rsid w:val="007A55AC"/>
    <w:rsid w:val="007A578F"/>
    <w:rsid w:val="007A5CAF"/>
    <w:rsid w:val="007A6333"/>
    <w:rsid w:val="007A6479"/>
    <w:rsid w:val="007A64D5"/>
    <w:rsid w:val="007A699F"/>
    <w:rsid w:val="007A6A1A"/>
    <w:rsid w:val="007A7EB6"/>
    <w:rsid w:val="007B00EA"/>
    <w:rsid w:val="007B066A"/>
    <w:rsid w:val="007B0692"/>
    <w:rsid w:val="007B0752"/>
    <w:rsid w:val="007B0C60"/>
    <w:rsid w:val="007B1143"/>
    <w:rsid w:val="007B12F8"/>
    <w:rsid w:val="007B2087"/>
    <w:rsid w:val="007B2340"/>
    <w:rsid w:val="007B262A"/>
    <w:rsid w:val="007B2A3D"/>
    <w:rsid w:val="007B2B17"/>
    <w:rsid w:val="007B3C6F"/>
    <w:rsid w:val="007B5118"/>
    <w:rsid w:val="007B5734"/>
    <w:rsid w:val="007B62B5"/>
    <w:rsid w:val="007B6E25"/>
    <w:rsid w:val="007B78E0"/>
    <w:rsid w:val="007B79C3"/>
    <w:rsid w:val="007C06A7"/>
    <w:rsid w:val="007C0FF9"/>
    <w:rsid w:val="007C177E"/>
    <w:rsid w:val="007C1ABC"/>
    <w:rsid w:val="007C1EC2"/>
    <w:rsid w:val="007C1ED8"/>
    <w:rsid w:val="007C1F0B"/>
    <w:rsid w:val="007C23A2"/>
    <w:rsid w:val="007C2C5A"/>
    <w:rsid w:val="007C3587"/>
    <w:rsid w:val="007C3652"/>
    <w:rsid w:val="007C38D9"/>
    <w:rsid w:val="007C4541"/>
    <w:rsid w:val="007C483C"/>
    <w:rsid w:val="007C48E9"/>
    <w:rsid w:val="007C4B2D"/>
    <w:rsid w:val="007C5424"/>
    <w:rsid w:val="007C55E9"/>
    <w:rsid w:val="007C5926"/>
    <w:rsid w:val="007C623A"/>
    <w:rsid w:val="007C65D4"/>
    <w:rsid w:val="007C675D"/>
    <w:rsid w:val="007C7D6D"/>
    <w:rsid w:val="007D00F9"/>
    <w:rsid w:val="007D0583"/>
    <w:rsid w:val="007D05F8"/>
    <w:rsid w:val="007D06C8"/>
    <w:rsid w:val="007D0A24"/>
    <w:rsid w:val="007D0A76"/>
    <w:rsid w:val="007D0FC5"/>
    <w:rsid w:val="007D1285"/>
    <w:rsid w:val="007D1B36"/>
    <w:rsid w:val="007D34EA"/>
    <w:rsid w:val="007D3760"/>
    <w:rsid w:val="007D3F18"/>
    <w:rsid w:val="007D503A"/>
    <w:rsid w:val="007D6E2F"/>
    <w:rsid w:val="007D77EC"/>
    <w:rsid w:val="007D7B6E"/>
    <w:rsid w:val="007E05B0"/>
    <w:rsid w:val="007E075B"/>
    <w:rsid w:val="007E1B93"/>
    <w:rsid w:val="007E1E50"/>
    <w:rsid w:val="007E2A29"/>
    <w:rsid w:val="007E2AA4"/>
    <w:rsid w:val="007E2BBD"/>
    <w:rsid w:val="007E3E95"/>
    <w:rsid w:val="007E43B6"/>
    <w:rsid w:val="007E47E1"/>
    <w:rsid w:val="007E5942"/>
    <w:rsid w:val="007E5D86"/>
    <w:rsid w:val="007E5F47"/>
    <w:rsid w:val="007E6196"/>
    <w:rsid w:val="007E69A0"/>
    <w:rsid w:val="007E6F9D"/>
    <w:rsid w:val="007E709A"/>
    <w:rsid w:val="007E72B7"/>
    <w:rsid w:val="007E7C6A"/>
    <w:rsid w:val="007E7D7C"/>
    <w:rsid w:val="007F01E7"/>
    <w:rsid w:val="007F0838"/>
    <w:rsid w:val="007F0EA1"/>
    <w:rsid w:val="007F163C"/>
    <w:rsid w:val="007F1E62"/>
    <w:rsid w:val="007F305D"/>
    <w:rsid w:val="007F31A6"/>
    <w:rsid w:val="007F3329"/>
    <w:rsid w:val="007F383E"/>
    <w:rsid w:val="007F3DA8"/>
    <w:rsid w:val="007F3E21"/>
    <w:rsid w:val="007F5089"/>
    <w:rsid w:val="007F5634"/>
    <w:rsid w:val="007F56E5"/>
    <w:rsid w:val="007F67A6"/>
    <w:rsid w:val="007F6A61"/>
    <w:rsid w:val="007F6C53"/>
    <w:rsid w:val="007F6D0B"/>
    <w:rsid w:val="007F72FD"/>
    <w:rsid w:val="007F7D8E"/>
    <w:rsid w:val="00800112"/>
    <w:rsid w:val="00800977"/>
    <w:rsid w:val="00802267"/>
    <w:rsid w:val="00802BA0"/>
    <w:rsid w:val="008030A3"/>
    <w:rsid w:val="0080398B"/>
    <w:rsid w:val="00803A32"/>
    <w:rsid w:val="008041E3"/>
    <w:rsid w:val="00804F38"/>
    <w:rsid w:val="008051B4"/>
    <w:rsid w:val="00805659"/>
    <w:rsid w:val="00805729"/>
    <w:rsid w:val="008061BE"/>
    <w:rsid w:val="008071F4"/>
    <w:rsid w:val="0080724E"/>
    <w:rsid w:val="00807D88"/>
    <w:rsid w:val="0081025F"/>
    <w:rsid w:val="008105BA"/>
    <w:rsid w:val="008107C3"/>
    <w:rsid w:val="0081148E"/>
    <w:rsid w:val="00811682"/>
    <w:rsid w:val="00813527"/>
    <w:rsid w:val="0081369B"/>
    <w:rsid w:val="00813B04"/>
    <w:rsid w:val="00813BFB"/>
    <w:rsid w:val="00814225"/>
    <w:rsid w:val="008156EA"/>
    <w:rsid w:val="00815F93"/>
    <w:rsid w:val="00816211"/>
    <w:rsid w:val="008169EA"/>
    <w:rsid w:val="008205B9"/>
    <w:rsid w:val="008209C1"/>
    <w:rsid w:val="008214F5"/>
    <w:rsid w:val="00821694"/>
    <w:rsid w:val="00821C90"/>
    <w:rsid w:val="00822469"/>
    <w:rsid w:val="008227EE"/>
    <w:rsid w:val="00822D0C"/>
    <w:rsid w:val="00822F4A"/>
    <w:rsid w:val="00823559"/>
    <w:rsid w:val="008243B5"/>
    <w:rsid w:val="00824675"/>
    <w:rsid w:val="0082494E"/>
    <w:rsid w:val="00824CDA"/>
    <w:rsid w:val="00824E5A"/>
    <w:rsid w:val="00824F84"/>
    <w:rsid w:val="00825250"/>
    <w:rsid w:val="008255E1"/>
    <w:rsid w:val="00825E83"/>
    <w:rsid w:val="00826635"/>
    <w:rsid w:val="00826A7C"/>
    <w:rsid w:val="0082725A"/>
    <w:rsid w:val="00827878"/>
    <w:rsid w:val="00830614"/>
    <w:rsid w:val="008306A5"/>
    <w:rsid w:val="00832080"/>
    <w:rsid w:val="008323AB"/>
    <w:rsid w:val="0083260D"/>
    <w:rsid w:val="008334E3"/>
    <w:rsid w:val="00833501"/>
    <w:rsid w:val="008338E8"/>
    <w:rsid w:val="0083422C"/>
    <w:rsid w:val="0083452F"/>
    <w:rsid w:val="008359BE"/>
    <w:rsid w:val="00836259"/>
    <w:rsid w:val="00836A19"/>
    <w:rsid w:val="00836B1E"/>
    <w:rsid w:val="00836C9A"/>
    <w:rsid w:val="008375EF"/>
    <w:rsid w:val="00837A3C"/>
    <w:rsid w:val="00840500"/>
    <w:rsid w:val="00840BA5"/>
    <w:rsid w:val="00840F23"/>
    <w:rsid w:val="00840FCA"/>
    <w:rsid w:val="00841110"/>
    <w:rsid w:val="00842A0A"/>
    <w:rsid w:val="008431CB"/>
    <w:rsid w:val="00843A19"/>
    <w:rsid w:val="00843EB5"/>
    <w:rsid w:val="00844088"/>
    <w:rsid w:val="0084439B"/>
    <w:rsid w:val="008453C5"/>
    <w:rsid w:val="00845E91"/>
    <w:rsid w:val="00846AE2"/>
    <w:rsid w:val="00847135"/>
    <w:rsid w:val="00847D5E"/>
    <w:rsid w:val="00847D74"/>
    <w:rsid w:val="00847E0C"/>
    <w:rsid w:val="00850732"/>
    <w:rsid w:val="0085232D"/>
    <w:rsid w:val="00852927"/>
    <w:rsid w:val="00852F38"/>
    <w:rsid w:val="0085349F"/>
    <w:rsid w:val="0085357C"/>
    <w:rsid w:val="0085422F"/>
    <w:rsid w:val="00855AC3"/>
    <w:rsid w:val="00855B2E"/>
    <w:rsid w:val="00855D8F"/>
    <w:rsid w:val="00856325"/>
    <w:rsid w:val="008563CA"/>
    <w:rsid w:val="008563FD"/>
    <w:rsid w:val="00857227"/>
    <w:rsid w:val="00857A27"/>
    <w:rsid w:val="00857E4E"/>
    <w:rsid w:val="00860489"/>
    <w:rsid w:val="0086104F"/>
    <w:rsid w:val="00861497"/>
    <w:rsid w:val="00861B7D"/>
    <w:rsid w:val="00861CA8"/>
    <w:rsid w:val="00862EFB"/>
    <w:rsid w:val="0086327D"/>
    <w:rsid w:val="00863482"/>
    <w:rsid w:val="00863A6E"/>
    <w:rsid w:val="00864A29"/>
    <w:rsid w:val="008650ED"/>
    <w:rsid w:val="00865240"/>
    <w:rsid w:val="00865447"/>
    <w:rsid w:val="008656E9"/>
    <w:rsid w:val="00866D8E"/>
    <w:rsid w:val="008675BA"/>
    <w:rsid w:val="00867A31"/>
    <w:rsid w:val="008701D4"/>
    <w:rsid w:val="008706E2"/>
    <w:rsid w:val="00871BEC"/>
    <w:rsid w:val="0087340B"/>
    <w:rsid w:val="00873629"/>
    <w:rsid w:val="00873A2D"/>
    <w:rsid w:val="00873E8A"/>
    <w:rsid w:val="008742CA"/>
    <w:rsid w:val="00874784"/>
    <w:rsid w:val="00874D07"/>
    <w:rsid w:val="00875574"/>
    <w:rsid w:val="008762E1"/>
    <w:rsid w:val="00876810"/>
    <w:rsid w:val="008768DB"/>
    <w:rsid w:val="008808D7"/>
    <w:rsid w:val="008812DD"/>
    <w:rsid w:val="00881CD0"/>
    <w:rsid w:val="00882FA4"/>
    <w:rsid w:val="00883040"/>
    <w:rsid w:val="00883E08"/>
    <w:rsid w:val="00884209"/>
    <w:rsid w:val="008846E8"/>
    <w:rsid w:val="00884751"/>
    <w:rsid w:val="00885663"/>
    <w:rsid w:val="00887F70"/>
    <w:rsid w:val="0089038B"/>
    <w:rsid w:val="0089086F"/>
    <w:rsid w:val="00890961"/>
    <w:rsid w:val="00890CD2"/>
    <w:rsid w:val="0089106B"/>
    <w:rsid w:val="008910D2"/>
    <w:rsid w:val="008913DE"/>
    <w:rsid w:val="008915F4"/>
    <w:rsid w:val="00891FA9"/>
    <w:rsid w:val="0089222A"/>
    <w:rsid w:val="00892C09"/>
    <w:rsid w:val="00892D2E"/>
    <w:rsid w:val="00893234"/>
    <w:rsid w:val="00893559"/>
    <w:rsid w:val="008944D9"/>
    <w:rsid w:val="008946D2"/>
    <w:rsid w:val="00895132"/>
    <w:rsid w:val="008954CD"/>
    <w:rsid w:val="00895E0D"/>
    <w:rsid w:val="008975B4"/>
    <w:rsid w:val="008A024E"/>
    <w:rsid w:val="008A065C"/>
    <w:rsid w:val="008A07DE"/>
    <w:rsid w:val="008A0F15"/>
    <w:rsid w:val="008A12EB"/>
    <w:rsid w:val="008A1691"/>
    <w:rsid w:val="008A16AC"/>
    <w:rsid w:val="008A1837"/>
    <w:rsid w:val="008A1E36"/>
    <w:rsid w:val="008A1E9B"/>
    <w:rsid w:val="008A1EE5"/>
    <w:rsid w:val="008A2194"/>
    <w:rsid w:val="008A21A0"/>
    <w:rsid w:val="008A2637"/>
    <w:rsid w:val="008A269B"/>
    <w:rsid w:val="008A3598"/>
    <w:rsid w:val="008A3BDA"/>
    <w:rsid w:val="008A3DE2"/>
    <w:rsid w:val="008A4754"/>
    <w:rsid w:val="008A58BE"/>
    <w:rsid w:val="008A5A41"/>
    <w:rsid w:val="008A68D4"/>
    <w:rsid w:val="008A6B09"/>
    <w:rsid w:val="008A6C39"/>
    <w:rsid w:val="008A6D61"/>
    <w:rsid w:val="008A711A"/>
    <w:rsid w:val="008A7A04"/>
    <w:rsid w:val="008B2771"/>
    <w:rsid w:val="008B28A3"/>
    <w:rsid w:val="008B28ED"/>
    <w:rsid w:val="008B3B9E"/>
    <w:rsid w:val="008B3D3E"/>
    <w:rsid w:val="008B3D86"/>
    <w:rsid w:val="008B3DA4"/>
    <w:rsid w:val="008B51C4"/>
    <w:rsid w:val="008B6249"/>
    <w:rsid w:val="008B6740"/>
    <w:rsid w:val="008B6CA5"/>
    <w:rsid w:val="008B6CF5"/>
    <w:rsid w:val="008B7859"/>
    <w:rsid w:val="008C0816"/>
    <w:rsid w:val="008C08A9"/>
    <w:rsid w:val="008C0D65"/>
    <w:rsid w:val="008C0E57"/>
    <w:rsid w:val="008C1EFB"/>
    <w:rsid w:val="008C2569"/>
    <w:rsid w:val="008C2620"/>
    <w:rsid w:val="008C3CED"/>
    <w:rsid w:val="008C3D74"/>
    <w:rsid w:val="008C470F"/>
    <w:rsid w:val="008C4D4E"/>
    <w:rsid w:val="008C547C"/>
    <w:rsid w:val="008C5E7E"/>
    <w:rsid w:val="008C613A"/>
    <w:rsid w:val="008C6238"/>
    <w:rsid w:val="008C6DC0"/>
    <w:rsid w:val="008C6DE5"/>
    <w:rsid w:val="008C7189"/>
    <w:rsid w:val="008C7481"/>
    <w:rsid w:val="008C7E82"/>
    <w:rsid w:val="008D18A0"/>
    <w:rsid w:val="008D1D48"/>
    <w:rsid w:val="008D1E8B"/>
    <w:rsid w:val="008D25A1"/>
    <w:rsid w:val="008D2D71"/>
    <w:rsid w:val="008D331F"/>
    <w:rsid w:val="008D3A49"/>
    <w:rsid w:val="008D3EDE"/>
    <w:rsid w:val="008D459F"/>
    <w:rsid w:val="008D49D2"/>
    <w:rsid w:val="008D4A06"/>
    <w:rsid w:val="008D4BE2"/>
    <w:rsid w:val="008D4DB9"/>
    <w:rsid w:val="008D5973"/>
    <w:rsid w:val="008D5C95"/>
    <w:rsid w:val="008D5E02"/>
    <w:rsid w:val="008D6411"/>
    <w:rsid w:val="008D648B"/>
    <w:rsid w:val="008D65CE"/>
    <w:rsid w:val="008D6D14"/>
    <w:rsid w:val="008D73DC"/>
    <w:rsid w:val="008D74F3"/>
    <w:rsid w:val="008D7FDD"/>
    <w:rsid w:val="008E08AC"/>
    <w:rsid w:val="008E0AC8"/>
    <w:rsid w:val="008E1B8A"/>
    <w:rsid w:val="008E28BF"/>
    <w:rsid w:val="008E38AC"/>
    <w:rsid w:val="008E3BCF"/>
    <w:rsid w:val="008E3F8F"/>
    <w:rsid w:val="008E503F"/>
    <w:rsid w:val="008E52A4"/>
    <w:rsid w:val="008E5399"/>
    <w:rsid w:val="008E5B67"/>
    <w:rsid w:val="008E6264"/>
    <w:rsid w:val="008E6574"/>
    <w:rsid w:val="008E69F4"/>
    <w:rsid w:val="008E715F"/>
    <w:rsid w:val="008E7A03"/>
    <w:rsid w:val="008F1A6C"/>
    <w:rsid w:val="008F1A7A"/>
    <w:rsid w:val="008F2292"/>
    <w:rsid w:val="008F2E29"/>
    <w:rsid w:val="008F35B0"/>
    <w:rsid w:val="008F3C2A"/>
    <w:rsid w:val="008F4330"/>
    <w:rsid w:val="008F48F7"/>
    <w:rsid w:val="008F4A76"/>
    <w:rsid w:val="008F4DAA"/>
    <w:rsid w:val="008F55F4"/>
    <w:rsid w:val="008F57C4"/>
    <w:rsid w:val="008F5C8B"/>
    <w:rsid w:val="008F625F"/>
    <w:rsid w:val="008F65AB"/>
    <w:rsid w:val="008F7784"/>
    <w:rsid w:val="0090009E"/>
    <w:rsid w:val="00900B57"/>
    <w:rsid w:val="00900BEF"/>
    <w:rsid w:val="009019C0"/>
    <w:rsid w:val="009024C8"/>
    <w:rsid w:val="0090299E"/>
    <w:rsid w:val="00903D1F"/>
    <w:rsid w:val="009048F5"/>
    <w:rsid w:val="00905594"/>
    <w:rsid w:val="00906404"/>
    <w:rsid w:val="00906A0D"/>
    <w:rsid w:val="00906AA3"/>
    <w:rsid w:val="00906FE1"/>
    <w:rsid w:val="00907C14"/>
    <w:rsid w:val="00910CAB"/>
    <w:rsid w:val="009116D3"/>
    <w:rsid w:val="00911AAB"/>
    <w:rsid w:val="00912791"/>
    <w:rsid w:val="009135B2"/>
    <w:rsid w:val="00913603"/>
    <w:rsid w:val="00913973"/>
    <w:rsid w:val="00915031"/>
    <w:rsid w:val="0091579B"/>
    <w:rsid w:val="00916030"/>
    <w:rsid w:val="0091636C"/>
    <w:rsid w:val="0091754F"/>
    <w:rsid w:val="009178BD"/>
    <w:rsid w:val="00917921"/>
    <w:rsid w:val="00917DB3"/>
    <w:rsid w:val="00920073"/>
    <w:rsid w:val="00920A85"/>
    <w:rsid w:val="00920EFE"/>
    <w:rsid w:val="0092185D"/>
    <w:rsid w:val="00922683"/>
    <w:rsid w:val="00923706"/>
    <w:rsid w:val="009238CB"/>
    <w:rsid w:val="00926659"/>
    <w:rsid w:val="00926EB5"/>
    <w:rsid w:val="00927560"/>
    <w:rsid w:val="00927B57"/>
    <w:rsid w:val="00927C4D"/>
    <w:rsid w:val="0093041F"/>
    <w:rsid w:val="009308BB"/>
    <w:rsid w:val="00930CC1"/>
    <w:rsid w:val="00931135"/>
    <w:rsid w:val="009311E3"/>
    <w:rsid w:val="0093197D"/>
    <w:rsid w:val="009320E1"/>
    <w:rsid w:val="0093255B"/>
    <w:rsid w:val="009334E8"/>
    <w:rsid w:val="00933866"/>
    <w:rsid w:val="00933ED9"/>
    <w:rsid w:val="00934213"/>
    <w:rsid w:val="009349A3"/>
    <w:rsid w:val="009352AB"/>
    <w:rsid w:val="009357B7"/>
    <w:rsid w:val="00935E3C"/>
    <w:rsid w:val="0093648F"/>
    <w:rsid w:val="009370F7"/>
    <w:rsid w:val="0093743C"/>
    <w:rsid w:val="0093744B"/>
    <w:rsid w:val="00937CBE"/>
    <w:rsid w:val="0094076D"/>
    <w:rsid w:val="00941031"/>
    <w:rsid w:val="0094138F"/>
    <w:rsid w:val="00942102"/>
    <w:rsid w:val="009432CE"/>
    <w:rsid w:val="00943610"/>
    <w:rsid w:val="009436DF"/>
    <w:rsid w:val="009438DA"/>
    <w:rsid w:val="009440BC"/>
    <w:rsid w:val="00944FB0"/>
    <w:rsid w:val="00946E23"/>
    <w:rsid w:val="0094700D"/>
    <w:rsid w:val="00947037"/>
    <w:rsid w:val="009471A5"/>
    <w:rsid w:val="009472CD"/>
    <w:rsid w:val="00950375"/>
    <w:rsid w:val="00950B9B"/>
    <w:rsid w:val="00951655"/>
    <w:rsid w:val="009516A7"/>
    <w:rsid w:val="009532A0"/>
    <w:rsid w:val="00953E7A"/>
    <w:rsid w:val="00953FF1"/>
    <w:rsid w:val="0095484C"/>
    <w:rsid w:val="00955C9A"/>
    <w:rsid w:val="009563DF"/>
    <w:rsid w:val="0095662E"/>
    <w:rsid w:val="00957528"/>
    <w:rsid w:val="009612E5"/>
    <w:rsid w:val="0096132D"/>
    <w:rsid w:val="009613B4"/>
    <w:rsid w:val="009614A6"/>
    <w:rsid w:val="00961584"/>
    <w:rsid w:val="00961841"/>
    <w:rsid w:val="00962D12"/>
    <w:rsid w:val="009630D6"/>
    <w:rsid w:val="009630DC"/>
    <w:rsid w:val="009635FB"/>
    <w:rsid w:val="00963EB3"/>
    <w:rsid w:val="00963FCE"/>
    <w:rsid w:val="009647A1"/>
    <w:rsid w:val="0096493B"/>
    <w:rsid w:val="0096505A"/>
    <w:rsid w:val="009656A6"/>
    <w:rsid w:val="00966B00"/>
    <w:rsid w:val="00966C90"/>
    <w:rsid w:val="0097038D"/>
    <w:rsid w:val="00971CF4"/>
    <w:rsid w:val="00971D9B"/>
    <w:rsid w:val="00972E54"/>
    <w:rsid w:val="0097342C"/>
    <w:rsid w:val="009738BA"/>
    <w:rsid w:val="00973BA1"/>
    <w:rsid w:val="00974254"/>
    <w:rsid w:val="00974446"/>
    <w:rsid w:val="00976D93"/>
    <w:rsid w:val="00977104"/>
    <w:rsid w:val="0097736A"/>
    <w:rsid w:val="00977E31"/>
    <w:rsid w:val="00980391"/>
    <w:rsid w:val="00980780"/>
    <w:rsid w:val="00980F07"/>
    <w:rsid w:val="00981AB3"/>
    <w:rsid w:val="00982F5F"/>
    <w:rsid w:val="00984570"/>
    <w:rsid w:val="0098479E"/>
    <w:rsid w:val="00984B7E"/>
    <w:rsid w:val="00985F36"/>
    <w:rsid w:val="00985FA2"/>
    <w:rsid w:val="009869E7"/>
    <w:rsid w:val="00987388"/>
    <w:rsid w:val="009874C4"/>
    <w:rsid w:val="009877E4"/>
    <w:rsid w:val="009902DD"/>
    <w:rsid w:val="00990482"/>
    <w:rsid w:val="009909CC"/>
    <w:rsid w:val="00990F3D"/>
    <w:rsid w:val="00991637"/>
    <w:rsid w:val="00991D5D"/>
    <w:rsid w:val="009937AC"/>
    <w:rsid w:val="009938BB"/>
    <w:rsid w:val="00993F22"/>
    <w:rsid w:val="009945E9"/>
    <w:rsid w:val="00994B54"/>
    <w:rsid w:val="00994F2D"/>
    <w:rsid w:val="0099570A"/>
    <w:rsid w:val="009959C2"/>
    <w:rsid w:val="0099613C"/>
    <w:rsid w:val="00996A32"/>
    <w:rsid w:val="00996E4F"/>
    <w:rsid w:val="009973BD"/>
    <w:rsid w:val="0099782A"/>
    <w:rsid w:val="00997893"/>
    <w:rsid w:val="009A07AD"/>
    <w:rsid w:val="009A1053"/>
    <w:rsid w:val="009A1505"/>
    <w:rsid w:val="009A1552"/>
    <w:rsid w:val="009A1822"/>
    <w:rsid w:val="009A357F"/>
    <w:rsid w:val="009A438F"/>
    <w:rsid w:val="009A46F9"/>
    <w:rsid w:val="009A4A3B"/>
    <w:rsid w:val="009A4AFE"/>
    <w:rsid w:val="009A520F"/>
    <w:rsid w:val="009A5791"/>
    <w:rsid w:val="009A59CA"/>
    <w:rsid w:val="009A66DD"/>
    <w:rsid w:val="009A71F9"/>
    <w:rsid w:val="009A7E65"/>
    <w:rsid w:val="009B026D"/>
    <w:rsid w:val="009B04DA"/>
    <w:rsid w:val="009B074A"/>
    <w:rsid w:val="009B157D"/>
    <w:rsid w:val="009B1E0A"/>
    <w:rsid w:val="009B261A"/>
    <w:rsid w:val="009B2DDA"/>
    <w:rsid w:val="009B4BE2"/>
    <w:rsid w:val="009B4C42"/>
    <w:rsid w:val="009B4E9A"/>
    <w:rsid w:val="009B5069"/>
    <w:rsid w:val="009B6E9E"/>
    <w:rsid w:val="009B763B"/>
    <w:rsid w:val="009B7DD5"/>
    <w:rsid w:val="009C0163"/>
    <w:rsid w:val="009C08FB"/>
    <w:rsid w:val="009C1020"/>
    <w:rsid w:val="009C1160"/>
    <w:rsid w:val="009C1FFE"/>
    <w:rsid w:val="009C30C9"/>
    <w:rsid w:val="009C3D32"/>
    <w:rsid w:val="009C41A0"/>
    <w:rsid w:val="009C486F"/>
    <w:rsid w:val="009C4F21"/>
    <w:rsid w:val="009C52B3"/>
    <w:rsid w:val="009C5468"/>
    <w:rsid w:val="009C54AE"/>
    <w:rsid w:val="009C5564"/>
    <w:rsid w:val="009C642C"/>
    <w:rsid w:val="009C753E"/>
    <w:rsid w:val="009C7F40"/>
    <w:rsid w:val="009D02F3"/>
    <w:rsid w:val="009D091A"/>
    <w:rsid w:val="009D09E7"/>
    <w:rsid w:val="009D11EB"/>
    <w:rsid w:val="009D1870"/>
    <w:rsid w:val="009D1876"/>
    <w:rsid w:val="009D1C7B"/>
    <w:rsid w:val="009D2007"/>
    <w:rsid w:val="009D23CD"/>
    <w:rsid w:val="009D2F11"/>
    <w:rsid w:val="009D38C7"/>
    <w:rsid w:val="009D3BBD"/>
    <w:rsid w:val="009D5332"/>
    <w:rsid w:val="009D55E3"/>
    <w:rsid w:val="009D588D"/>
    <w:rsid w:val="009D6A81"/>
    <w:rsid w:val="009D7102"/>
    <w:rsid w:val="009D71CE"/>
    <w:rsid w:val="009D74B4"/>
    <w:rsid w:val="009D7EF9"/>
    <w:rsid w:val="009E14CC"/>
    <w:rsid w:val="009E1E0B"/>
    <w:rsid w:val="009E2AD4"/>
    <w:rsid w:val="009E2C85"/>
    <w:rsid w:val="009E2D6B"/>
    <w:rsid w:val="009E3908"/>
    <w:rsid w:val="009E3FDB"/>
    <w:rsid w:val="009E4037"/>
    <w:rsid w:val="009E4186"/>
    <w:rsid w:val="009E41CF"/>
    <w:rsid w:val="009E5551"/>
    <w:rsid w:val="009E76D2"/>
    <w:rsid w:val="009E7897"/>
    <w:rsid w:val="009E79BE"/>
    <w:rsid w:val="009E7FF2"/>
    <w:rsid w:val="009F021A"/>
    <w:rsid w:val="009F045B"/>
    <w:rsid w:val="009F068F"/>
    <w:rsid w:val="009F0A26"/>
    <w:rsid w:val="009F0CAC"/>
    <w:rsid w:val="009F0F19"/>
    <w:rsid w:val="009F22F7"/>
    <w:rsid w:val="009F2989"/>
    <w:rsid w:val="009F3BF2"/>
    <w:rsid w:val="009F3FA2"/>
    <w:rsid w:val="009F4242"/>
    <w:rsid w:val="009F4BB4"/>
    <w:rsid w:val="009F5005"/>
    <w:rsid w:val="009F55F5"/>
    <w:rsid w:val="009F5CE4"/>
    <w:rsid w:val="009F742D"/>
    <w:rsid w:val="009F773A"/>
    <w:rsid w:val="009F77C4"/>
    <w:rsid w:val="009F7C49"/>
    <w:rsid w:val="009F7D2E"/>
    <w:rsid w:val="009F7DC8"/>
    <w:rsid w:val="00A0035A"/>
    <w:rsid w:val="00A003F9"/>
    <w:rsid w:val="00A00FCA"/>
    <w:rsid w:val="00A01583"/>
    <w:rsid w:val="00A01AD6"/>
    <w:rsid w:val="00A01D7D"/>
    <w:rsid w:val="00A026FA"/>
    <w:rsid w:val="00A0288A"/>
    <w:rsid w:val="00A02E17"/>
    <w:rsid w:val="00A03187"/>
    <w:rsid w:val="00A03CBA"/>
    <w:rsid w:val="00A03E5F"/>
    <w:rsid w:val="00A03F3C"/>
    <w:rsid w:val="00A047FF"/>
    <w:rsid w:val="00A049DD"/>
    <w:rsid w:val="00A04FDC"/>
    <w:rsid w:val="00A062D2"/>
    <w:rsid w:val="00A0649A"/>
    <w:rsid w:val="00A06FE5"/>
    <w:rsid w:val="00A075F5"/>
    <w:rsid w:val="00A077E2"/>
    <w:rsid w:val="00A07D74"/>
    <w:rsid w:val="00A10BDA"/>
    <w:rsid w:val="00A10D12"/>
    <w:rsid w:val="00A11E3B"/>
    <w:rsid w:val="00A11F1B"/>
    <w:rsid w:val="00A128F3"/>
    <w:rsid w:val="00A12F56"/>
    <w:rsid w:val="00A12FF5"/>
    <w:rsid w:val="00A13522"/>
    <w:rsid w:val="00A13552"/>
    <w:rsid w:val="00A14595"/>
    <w:rsid w:val="00A14BBA"/>
    <w:rsid w:val="00A14E78"/>
    <w:rsid w:val="00A14E87"/>
    <w:rsid w:val="00A15165"/>
    <w:rsid w:val="00A15891"/>
    <w:rsid w:val="00A16064"/>
    <w:rsid w:val="00A16B98"/>
    <w:rsid w:val="00A16D75"/>
    <w:rsid w:val="00A17B80"/>
    <w:rsid w:val="00A20302"/>
    <w:rsid w:val="00A20B9C"/>
    <w:rsid w:val="00A20FFB"/>
    <w:rsid w:val="00A225F6"/>
    <w:rsid w:val="00A2371D"/>
    <w:rsid w:val="00A245C4"/>
    <w:rsid w:val="00A24616"/>
    <w:rsid w:val="00A248B9"/>
    <w:rsid w:val="00A251A9"/>
    <w:rsid w:val="00A2552D"/>
    <w:rsid w:val="00A256D3"/>
    <w:rsid w:val="00A263AF"/>
    <w:rsid w:val="00A26A19"/>
    <w:rsid w:val="00A26BA4"/>
    <w:rsid w:val="00A26F52"/>
    <w:rsid w:val="00A272B9"/>
    <w:rsid w:val="00A274A4"/>
    <w:rsid w:val="00A27785"/>
    <w:rsid w:val="00A27A23"/>
    <w:rsid w:val="00A30207"/>
    <w:rsid w:val="00A3078C"/>
    <w:rsid w:val="00A30C65"/>
    <w:rsid w:val="00A314FA"/>
    <w:rsid w:val="00A31DBE"/>
    <w:rsid w:val="00A31F50"/>
    <w:rsid w:val="00A32178"/>
    <w:rsid w:val="00A322D0"/>
    <w:rsid w:val="00A32F65"/>
    <w:rsid w:val="00A3398A"/>
    <w:rsid w:val="00A3453E"/>
    <w:rsid w:val="00A346F0"/>
    <w:rsid w:val="00A34E8D"/>
    <w:rsid w:val="00A3515C"/>
    <w:rsid w:val="00A3525B"/>
    <w:rsid w:val="00A356AA"/>
    <w:rsid w:val="00A35B31"/>
    <w:rsid w:val="00A36F9A"/>
    <w:rsid w:val="00A371A8"/>
    <w:rsid w:val="00A37E0C"/>
    <w:rsid w:val="00A400DC"/>
    <w:rsid w:val="00A400FA"/>
    <w:rsid w:val="00A42470"/>
    <w:rsid w:val="00A42659"/>
    <w:rsid w:val="00A434E7"/>
    <w:rsid w:val="00A43C3E"/>
    <w:rsid w:val="00A459AB"/>
    <w:rsid w:val="00A45E13"/>
    <w:rsid w:val="00A46198"/>
    <w:rsid w:val="00A46DB4"/>
    <w:rsid w:val="00A47EED"/>
    <w:rsid w:val="00A5034E"/>
    <w:rsid w:val="00A50690"/>
    <w:rsid w:val="00A514A6"/>
    <w:rsid w:val="00A51881"/>
    <w:rsid w:val="00A52063"/>
    <w:rsid w:val="00A523AC"/>
    <w:rsid w:val="00A5284F"/>
    <w:rsid w:val="00A53692"/>
    <w:rsid w:val="00A5386A"/>
    <w:rsid w:val="00A53F30"/>
    <w:rsid w:val="00A544DB"/>
    <w:rsid w:val="00A54753"/>
    <w:rsid w:val="00A54F40"/>
    <w:rsid w:val="00A562DD"/>
    <w:rsid w:val="00A5749C"/>
    <w:rsid w:val="00A604DB"/>
    <w:rsid w:val="00A60D69"/>
    <w:rsid w:val="00A621E7"/>
    <w:rsid w:val="00A626A2"/>
    <w:rsid w:val="00A62B98"/>
    <w:rsid w:val="00A637E0"/>
    <w:rsid w:val="00A6457E"/>
    <w:rsid w:val="00A64AF8"/>
    <w:rsid w:val="00A650BA"/>
    <w:rsid w:val="00A651EB"/>
    <w:rsid w:val="00A662F7"/>
    <w:rsid w:val="00A667B1"/>
    <w:rsid w:val="00A67187"/>
    <w:rsid w:val="00A67405"/>
    <w:rsid w:val="00A70D67"/>
    <w:rsid w:val="00A7124E"/>
    <w:rsid w:val="00A7197C"/>
    <w:rsid w:val="00A722A7"/>
    <w:rsid w:val="00A72B4A"/>
    <w:rsid w:val="00A72BDF"/>
    <w:rsid w:val="00A7330A"/>
    <w:rsid w:val="00A73A3B"/>
    <w:rsid w:val="00A73B88"/>
    <w:rsid w:val="00A740D6"/>
    <w:rsid w:val="00A76F29"/>
    <w:rsid w:val="00A77261"/>
    <w:rsid w:val="00A77848"/>
    <w:rsid w:val="00A81315"/>
    <w:rsid w:val="00A81D76"/>
    <w:rsid w:val="00A81F93"/>
    <w:rsid w:val="00A820AC"/>
    <w:rsid w:val="00A82885"/>
    <w:rsid w:val="00A82890"/>
    <w:rsid w:val="00A82899"/>
    <w:rsid w:val="00A834A4"/>
    <w:rsid w:val="00A844D3"/>
    <w:rsid w:val="00A84843"/>
    <w:rsid w:val="00A85790"/>
    <w:rsid w:val="00A85B2D"/>
    <w:rsid w:val="00A85E90"/>
    <w:rsid w:val="00A8659D"/>
    <w:rsid w:val="00A871CA"/>
    <w:rsid w:val="00A876B9"/>
    <w:rsid w:val="00A903A2"/>
    <w:rsid w:val="00A90BD5"/>
    <w:rsid w:val="00A9113C"/>
    <w:rsid w:val="00A9155F"/>
    <w:rsid w:val="00A92D92"/>
    <w:rsid w:val="00A9306E"/>
    <w:rsid w:val="00A937A5"/>
    <w:rsid w:val="00A93E9A"/>
    <w:rsid w:val="00A941CA"/>
    <w:rsid w:val="00A9428E"/>
    <w:rsid w:val="00A94545"/>
    <w:rsid w:val="00A94C5D"/>
    <w:rsid w:val="00A952D8"/>
    <w:rsid w:val="00A95D3C"/>
    <w:rsid w:val="00A966F2"/>
    <w:rsid w:val="00A9697C"/>
    <w:rsid w:val="00A97232"/>
    <w:rsid w:val="00A9736C"/>
    <w:rsid w:val="00A97555"/>
    <w:rsid w:val="00AA0937"/>
    <w:rsid w:val="00AA124B"/>
    <w:rsid w:val="00AA1288"/>
    <w:rsid w:val="00AA12A6"/>
    <w:rsid w:val="00AA2A18"/>
    <w:rsid w:val="00AA2A45"/>
    <w:rsid w:val="00AA2CD4"/>
    <w:rsid w:val="00AA361F"/>
    <w:rsid w:val="00AA41F2"/>
    <w:rsid w:val="00AA525C"/>
    <w:rsid w:val="00AA5BED"/>
    <w:rsid w:val="00AA6050"/>
    <w:rsid w:val="00AA76D3"/>
    <w:rsid w:val="00AA7A93"/>
    <w:rsid w:val="00AB133A"/>
    <w:rsid w:val="00AB14C4"/>
    <w:rsid w:val="00AB15EB"/>
    <w:rsid w:val="00AB207D"/>
    <w:rsid w:val="00AB2602"/>
    <w:rsid w:val="00AB2992"/>
    <w:rsid w:val="00AB2B2A"/>
    <w:rsid w:val="00AB322A"/>
    <w:rsid w:val="00AB3233"/>
    <w:rsid w:val="00AB4A0C"/>
    <w:rsid w:val="00AB4B1A"/>
    <w:rsid w:val="00AB5354"/>
    <w:rsid w:val="00AB5EE8"/>
    <w:rsid w:val="00AB61D4"/>
    <w:rsid w:val="00AB71DC"/>
    <w:rsid w:val="00AB72AC"/>
    <w:rsid w:val="00AB77B9"/>
    <w:rsid w:val="00AB79AC"/>
    <w:rsid w:val="00AC05F4"/>
    <w:rsid w:val="00AC1450"/>
    <w:rsid w:val="00AC1D43"/>
    <w:rsid w:val="00AC1F6A"/>
    <w:rsid w:val="00AC2024"/>
    <w:rsid w:val="00AC3281"/>
    <w:rsid w:val="00AC329B"/>
    <w:rsid w:val="00AC33E4"/>
    <w:rsid w:val="00AC45BC"/>
    <w:rsid w:val="00AC46B2"/>
    <w:rsid w:val="00AC4786"/>
    <w:rsid w:val="00AC4EA9"/>
    <w:rsid w:val="00AC5178"/>
    <w:rsid w:val="00AC5269"/>
    <w:rsid w:val="00AC53EE"/>
    <w:rsid w:val="00AC60F1"/>
    <w:rsid w:val="00AC6424"/>
    <w:rsid w:val="00AC6E9B"/>
    <w:rsid w:val="00AC6F2E"/>
    <w:rsid w:val="00AC7ED7"/>
    <w:rsid w:val="00AD0620"/>
    <w:rsid w:val="00AD06B9"/>
    <w:rsid w:val="00AD0781"/>
    <w:rsid w:val="00AD1636"/>
    <w:rsid w:val="00AD189B"/>
    <w:rsid w:val="00AD245A"/>
    <w:rsid w:val="00AD3558"/>
    <w:rsid w:val="00AD3C1B"/>
    <w:rsid w:val="00AD414A"/>
    <w:rsid w:val="00AD440A"/>
    <w:rsid w:val="00AD494D"/>
    <w:rsid w:val="00AD4BBB"/>
    <w:rsid w:val="00AD4C65"/>
    <w:rsid w:val="00AD4E83"/>
    <w:rsid w:val="00AD5358"/>
    <w:rsid w:val="00AD5DB8"/>
    <w:rsid w:val="00AD682D"/>
    <w:rsid w:val="00AD6D14"/>
    <w:rsid w:val="00AD73A1"/>
    <w:rsid w:val="00AD7DA1"/>
    <w:rsid w:val="00AE0B17"/>
    <w:rsid w:val="00AE0F79"/>
    <w:rsid w:val="00AE1A8B"/>
    <w:rsid w:val="00AE20BF"/>
    <w:rsid w:val="00AE32F0"/>
    <w:rsid w:val="00AE3BB7"/>
    <w:rsid w:val="00AE3CCE"/>
    <w:rsid w:val="00AE4334"/>
    <w:rsid w:val="00AE4A9F"/>
    <w:rsid w:val="00AE4C7E"/>
    <w:rsid w:val="00AE4E84"/>
    <w:rsid w:val="00AE5415"/>
    <w:rsid w:val="00AE6017"/>
    <w:rsid w:val="00AE626E"/>
    <w:rsid w:val="00AE65C1"/>
    <w:rsid w:val="00AE671F"/>
    <w:rsid w:val="00AE6A99"/>
    <w:rsid w:val="00AE71EC"/>
    <w:rsid w:val="00AE770F"/>
    <w:rsid w:val="00AE7981"/>
    <w:rsid w:val="00AF0D16"/>
    <w:rsid w:val="00AF104A"/>
    <w:rsid w:val="00AF10FE"/>
    <w:rsid w:val="00AF1ED9"/>
    <w:rsid w:val="00AF203D"/>
    <w:rsid w:val="00AF21EC"/>
    <w:rsid w:val="00AF21FE"/>
    <w:rsid w:val="00AF252E"/>
    <w:rsid w:val="00AF2EF7"/>
    <w:rsid w:val="00AF34D6"/>
    <w:rsid w:val="00AF35D5"/>
    <w:rsid w:val="00AF3B27"/>
    <w:rsid w:val="00AF40A1"/>
    <w:rsid w:val="00AF417A"/>
    <w:rsid w:val="00AF492D"/>
    <w:rsid w:val="00AF54B0"/>
    <w:rsid w:val="00AF58D9"/>
    <w:rsid w:val="00AF6071"/>
    <w:rsid w:val="00AF7349"/>
    <w:rsid w:val="00B0063A"/>
    <w:rsid w:val="00B00970"/>
    <w:rsid w:val="00B01444"/>
    <w:rsid w:val="00B018E2"/>
    <w:rsid w:val="00B0250B"/>
    <w:rsid w:val="00B0258B"/>
    <w:rsid w:val="00B02E3C"/>
    <w:rsid w:val="00B03586"/>
    <w:rsid w:val="00B03D8B"/>
    <w:rsid w:val="00B042C9"/>
    <w:rsid w:val="00B10064"/>
    <w:rsid w:val="00B10296"/>
    <w:rsid w:val="00B10A93"/>
    <w:rsid w:val="00B10ECC"/>
    <w:rsid w:val="00B10F74"/>
    <w:rsid w:val="00B11213"/>
    <w:rsid w:val="00B1212D"/>
    <w:rsid w:val="00B12695"/>
    <w:rsid w:val="00B12A36"/>
    <w:rsid w:val="00B1326D"/>
    <w:rsid w:val="00B132E4"/>
    <w:rsid w:val="00B14415"/>
    <w:rsid w:val="00B1469A"/>
    <w:rsid w:val="00B146F4"/>
    <w:rsid w:val="00B14971"/>
    <w:rsid w:val="00B15329"/>
    <w:rsid w:val="00B1561D"/>
    <w:rsid w:val="00B15A08"/>
    <w:rsid w:val="00B15A34"/>
    <w:rsid w:val="00B15EEC"/>
    <w:rsid w:val="00B1699D"/>
    <w:rsid w:val="00B177F4"/>
    <w:rsid w:val="00B17AAA"/>
    <w:rsid w:val="00B17D3D"/>
    <w:rsid w:val="00B211BE"/>
    <w:rsid w:val="00B21543"/>
    <w:rsid w:val="00B21755"/>
    <w:rsid w:val="00B21AE7"/>
    <w:rsid w:val="00B222FE"/>
    <w:rsid w:val="00B224B2"/>
    <w:rsid w:val="00B23D8D"/>
    <w:rsid w:val="00B25245"/>
    <w:rsid w:val="00B25CA4"/>
    <w:rsid w:val="00B2614C"/>
    <w:rsid w:val="00B261DE"/>
    <w:rsid w:val="00B27336"/>
    <w:rsid w:val="00B277C9"/>
    <w:rsid w:val="00B27CEE"/>
    <w:rsid w:val="00B27DA0"/>
    <w:rsid w:val="00B300C1"/>
    <w:rsid w:val="00B3018D"/>
    <w:rsid w:val="00B318BA"/>
    <w:rsid w:val="00B31FB1"/>
    <w:rsid w:val="00B324BB"/>
    <w:rsid w:val="00B32E42"/>
    <w:rsid w:val="00B33431"/>
    <w:rsid w:val="00B334B4"/>
    <w:rsid w:val="00B344B6"/>
    <w:rsid w:val="00B34B9C"/>
    <w:rsid w:val="00B34BDB"/>
    <w:rsid w:val="00B34E13"/>
    <w:rsid w:val="00B34EAE"/>
    <w:rsid w:val="00B366A8"/>
    <w:rsid w:val="00B36852"/>
    <w:rsid w:val="00B36ABC"/>
    <w:rsid w:val="00B37050"/>
    <w:rsid w:val="00B37BCD"/>
    <w:rsid w:val="00B407D6"/>
    <w:rsid w:val="00B40BB8"/>
    <w:rsid w:val="00B416AB"/>
    <w:rsid w:val="00B41DA1"/>
    <w:rsid w:val="00B4208B"/>
    <w:rsid w:val="00B4214E"/>
    <w:rsid w:val="00B4243E"/>
    <w:rsid w:val="00B42AA9"/>
    <w:rsid w:val="00B43D29"/>
    <w:rsid w:val="00B44062"/>
    <w:rsid w:val="00B4580D"/>
    <w:rsid w:val="00B46CD7"/>
    <w:rsid w:val="00B46CE4"/>
    <w:rsid w:val="00B46FFA"/>
    <w:rsid w:val="00B47B54"/>
    <w:rsid w:val="00B50385"/>
    <w:rsid w:val="00B50924"/>
    <w:rsid w:val="00B50A8F"/>
    <w:rsid w:val="00B50AE3"/>
    <w:rsid w:val="00B50BD2"/>
    <w:rsid w:val="00B50DE1"/>
    <w:rsid w:val="00B50FCC"/>
    <w:rsid w:val="00B51216"/>
    <w:rsid w:val="00B51386"/>
    <w:rsid w:val="00B51420"/>
    <w:rsid w:val="00B51ACA"/>
    <w:rsid w:val="00B5235C"/>
    <w:rsid w:val="00B52C33"/>
    <w:rsid w:val="00B53A09"/>
    <w:rsid w:val="00B5476D"/>
    <w:rsid w:val="00B54782"/>
    <w:rsid w:val="00B54C0D"/>
    <w:rsid w:val="00B557EC"/>
    <w:rsid w:val="00B55FD3"/>
    <w:rsid w:val="00B571CA"/>
    <w:rsid w:val="00B576CC"/>
    <w:rsid w:val="00B57A91"/>
    <w:rsid w:val="00B57EA3"/>
    <w:rsid w:val="00B604C5"/>
    <w:rsid w:val="00B61ACF"/>
    <w:rsid w:val="00B62000"/>
    <w:rsid w:val="00B62C7D"/>
    <w:rsid w:val="00B63395"/>
    <w:rsid w:val="00B6446A"/>
    <w:rsid w:val="00B64778"/>
    <w:rsid w:val="00B64922"/>
    <w:rsid w:val="00B64BF5"/>
    <w:rsid w:val="00B663BA"/>
    <w:rsid w:val="00B669C4"/>
    <w:rsid w:val="00B66BBE"/>
    <w:rsid w:val="00B66C50"/>
    <w:rsid w:val="00B67AA1"/>
    <w:rsid w:val="00B67E9C"/>
    <w:rsid w:val="00B703E6"/>
    <w:rsid w:val="00B718A4"/>
    <w:rsid w:val="00B71A17"/>
    <w:rsid w:val="00B721AD"/>
    <w:rsid w:val="00B72C8A"/>
    <w:rsid w:val="00B7334B"/>
    <w:rsid w:val="00B73696"/>
    <w:rsid w:val="00B73E62"/>
    <w:rsid w:val="00B744AA"/>
    <w:rsid w:val="00B74584"/>
    <w:rsid w:val="00B74CD6"/>
    <w:rsid w:val="00B75023"/>
    <w:rsid w:val="00B76441"/>
    <w:rsid w:val="00B76835"/>
    <w:rsid w:val="00B76ACB"/>
    <w:rsid w:val="00B7726A"/>
    <w:rsid w:val="00B81664"/>
    <w:rsid w:val="00B81835"/>
    <w:rsid w:val="00B81D0E"/>
    <w:rsid w:val="00B81D2E"/>
    <w:rsid w:val="00B82204"/>
    <w:rsid w:val="00B823C2"/>
    <w:rsid w:val="00B823F8"/>
    <w:rsid w:val="00B826BD"/>
    <w:rsid w:val="00B826F0"/>
    <w:rsid w:val="00B82957"/>
    <w:rsid w:val="00B82DA4"/>
    <w:rsid w:val="00B82FCB"/>
    <w:rsid w:val="00B83403"/>
    <w:rsid w:val="00B837D6"/>
    <w:rsid w:val="00B840EA"/>
    <w:rsid w:val="00B8483D"/>
    <w:rsid w:val="00B84DBC"/>
    <w:rsid w:val="00B8545B"/>
    <w:rsid w:val="00B857BF"/>
    <w:rsid w:val="00B85A7F"/>
    <w:rsid w:val="00B867DD"/>
    <w:rsid w:val="00B86E3A"/>
    <w:rsid w:val="00B906B1"/>
    <w:rsid w:val="00B90722"/>
    <w:rsid w:val="00B908E7"/>
    <w:rsid w:val="00B9102D"/>
    <w:rsid w:val="00B9159F"/>
    <w:rsid w:val="00B92480"/>
    <w:rsid w:val="00B92570"/>
    <w:rsid w:val="00B93417"/>
    <w:rsid w:val="00B93577"/>
    <w:rsid w:val="00B93D50"/>
    <w:rsid w:val="00B93EAC"/>
    <w:rsid w:val="00B9449B"/>
    <w:rsid w:val="00B9464B"/>
    <w:rsid w:val="00B9519A"/>
    <w:rsid w:val="00B95C02"/>
    <w:rsid w:val="00B95C41"/>
    <w:rsid w:val="00B962A9"/>
    <w:rsid w:val="00B9650D"/>
    <w:rsid w:val="00B966DE"/>
    <w:rsid w:val="00B96E3F"/>
    <w:rsid w:val="00BA00A6"/>
    <w:rsid w:val="00BA049A"/>
    <w:rsid w:val="00BA0939"/>
    <w:rsid w:val="00BA16F0"/>
    <w:rsid w:val="00BA1769"/>
    <w:rsid w:val="00BA1905"/>
    <w:rsid w:val="00BA21D6"/>
    <w:rsid w:val="00BA28AC"/>
    <w:rsid w:val="00BA2C53"/>
    <w:rsid w:val="00BA364B"/>
    <w:rsid w:val="00BA40C5"/>
    <w:rsid w:val="00BA53B7"/>
    <w:rsid w:val="00BA5633"/>
    <w:rsid w:val="00BA5CA9"/>
    <w:rsid w:val="00BA6D0F"/>
    <w:rsid w:val="00BA756C"/>
    <w:rsid w:val="00BA7FE5"/>
    <w:rsid w:val="00BB0AF6"/>
    <w:rsid w:val="00BB1508"/>
    <w:rsid w:val="00BB1C13"/>
    <w:rsid w:val="00BB2401"/>
    <w:rsid w:val="00BB2B79"/>
    <w:rsid w:val="00BB3952"/>
    <w:rsid w:val="00BB39E0"/>
    <w:rsid w:val="00BB3DEA"/>
    <w:rsid w:val="00BB3FA6"/>
    <w:rsid w:val="00BB3FD8"/>
    <w:rsid w:val="00BB43C0"/>
    <w:rsid w:val="00BB48AF"/>
    <w:rsid w:val="00BB52A2"/>
    <w:rsid w:val="00BB694D"/>
    <w:rsid w:val="00BB69EF"/>
    <w:rsid w:val="00BB6AA5"/>
    <w:rsid w:val="00BB6ACE"/>
    <w:rsid w:val="00BB6BF8"/>
    <w:rsid w:val="00BB6D84"/>
    <w:rsid w:val="00BB6EA0"/>
    <w:rsid w:val="00BB6EB6"/>
    <w:rsid w:val="00BC00C8"/>
    <w:rsid w:val="00BC12B4"/>
    <w:rsid w:val="00BC1D2B"/>
    <w:rsid w:val="00BC26B4"/>
    <w:rsid w:val="00BC26C0"/>
    <w:rsid w:val="00BC29A3"/>
    <w:rsid w:val="00BC3689"/>
    <w:rsid w:val="00BC36C6"/>
    <w:rsid w:val="00BC39B7"/>
    <w:rsid w:val="00BC39B9"/>
    <w:rsid w:val="00BC3E03"/>
    <w:rsid w:val="00BC40DD"/>
    <w:rsid w:val="00BC457D"/>
    <w:rsid w:val="00BC45CC"/>
    <w:rsid w:val="00BC4DF4"/>
    <w:rsid w:val="00BC503D"/>
    <w:rsid w:val="00BC5152"/>
    <w:rsid w:val="00BC65F9"/>
    <w:rsid w:val="00BC662B"/>
    <w:rsid w:val="00BC6B0C"/>
    <w:rsid w:val="00BC6E2E"/>
    <w:rsid w:val="00BC76FB"/>
    <w:rsid w:val="00BC7D37"/>
    <w:rsid w:val="00BD0B14"/>
    <w:rsid w:val="00BD1D95"/>
    <w:rsid w:val="00BD27AC"/>
    <w:rsid w:val="00BD27BD"/>
    <w:rsid w:val="00BD2B14"/>
    <w:rsid w:val="00BD2C11"/>
    <w:rsid w:val="00BD3784"/>
    <w:rsid w:val="00BD3A11"/>
    <w:rsid w:val="00BD3AA1"/>
    <w:rsid w:val="00BD4515"/>
    <w:rsid w:val="00BD489F"/>
    <w:rsid w:val="00BD4BDF"/>
    <w:rsid w:val="00BD4FA1"/>
    <w:rsid w:val="00BD53AF"/>
    <w:rsid w:val="00BD55CF"/>
    <w:rsid w:val="00BD59E8"/>
    <w:rsid w:val="00BD60CE"/>
    <w:rsid w:val="00BD61FE"/>
    <w:rsid w:val="00BD676F"/>
    <w:rsid w:val="00BD6CC1"/>
    <w:rsid w:val="00BD7D3D"/>
    <w:rsid w:val="00BD7FF6"/>
    <w:rsid w:val="00BE01A8"/>
    <w:rsid w:val="00BE0C74"/>
    <w:rsid w:val="00BE182B"/>
    <w:rsid w:val="00BE1A60"/>
    <w:rsid w:val="00BE2B62"/>
    <w:rsid w:val="00BE2DF6"/>
    <w:rsid w:val="00BE2EAA"/>
    <w:rsid w:val="00BE317C"/>
    <w:rsid w:val="00BE396A"/>
    <w:rsid w:val="00BE41D4"/>
    <w:rsid w:val="00BE451C"/>
    <w:rsid w:val="00BE4839"/>
    <w:rsid w:val="00BE495D"/>
    <w:rsid w:val="00BE585D"/>
    <w:rsid w:val="00BE64E7"/>
    <w:rsid w:val="00BE6665"/>
    <w:rsid w:val="00BE6688"/>
    <w:rsid w:val="00BE69E4"/>
    <w:rsid w:val="00BE6C15"/>
    <w:rsid w:val="00BE7B87"/>
    <w:rsid w:val="00BE7F82"/>
    <w:rsid w:val="00BF07E0"/>
    <w:rsid w:val="00BF086C"/>
    <w:rsid w:val="00BF0B5F"/>
    <w:rsid w:val="00BF158C"/>
    <w:rsid w:val="00BF25EB"/>
    <w:rsid w:val="00BF285D"/>
    <w:rsid w:val="00BF326A"/>
    <w:rsid w:val="00BF327C"/>
    <w:rsid w:val="00BF389D"/>
    <w:rsid w:val="00BF3AA6"/>
    <w:rsid w:val="00BF3E17"/>
    <w:rsid w:val="00BF4218"/>
    <w:rsid w:val="00BF46EC"/>
    <w:rsid w:val="00BF4E36"/>
    <w:rsid w:val="00BF4F2F"/>
    <w:rsid w:val="00BF65B6"/>
    <w:rsid w:val="00BF6A91"/>
    <w:rsid w:val="00BF6D9E"/>
    <w:rsid w:val="00BF6EA1"/>
    <w:rsid w:val="00BF7563"/>
    <w:rsid w:val="00C004A0"/>
    <w:rsid w:val="00C00705"/>
    <w:rsid w:val="00C00824"/>
    <w:rsid w:val="00C01BA3"/>
    <w:rsid w:val="00C023D6"/>
    <w:rsid w:val="00C02467"/>
    <w:rsid w:val="00C0262B"/>
    <w:rsid w:val="00C02631"/>
    <w:rsid w:val="00C028C2"/>
    <w:rsid w:val="00C04848"/>
    <w:rsid w:val="00C05756"/>
    <w:rsid w:val="00C05B5D"/>
    <w:rsid w:val="00C05B68"/>
    <w:rsid w:val="00C05CAA"/>
    <w:rsid w:val="00C06187"/>
    <w:rsid w:val="00C06B5F"/>
    <w:rsid w:val="00C0755A"/>
    <w:rsid w:val="00C07B73"/>
    <w:rsid w:val="00C07C17"/>
    <w:rsid w:val="00C07C40"/>
    <w:rsid w:val="00C07F86"/>
    <w:rsid w:val="00C10BB9"/>
    <w:rsid w:val="00C10D5C"/>
    <w:rsid w:val="00C10D81"/>
    <w:rsid w:val="00C11A21"/>
    <w:rsid w:val="00C11E2A"/>
    <w:rsid w:val="00C12265"/>
    <w:rsid w:val="00C12AB9"/>
    <w:rsid w:val="00C12AC9"/>
    <w:rsid w:val="00C12CDD"/>
    <w:rsid w:val="00C1334E"/>
    <w:rsid w:val="00C1357E"/>
    <w:rsid w:val="00C13B86"/>
    <w:rsid w:val="00C1412D"/>
    <w:rsid w:val="00C1489B"/>
    <w:rsid w:val="00C14A50"/>
    <w:rsid w:val="00C1577D"/>
    <w:rsid w:val="00C158F1"/>
    <w:rsid w:val="00C15D3E"/>
    <w:rsid w:val="00C16111"/>
    <w:rsid w:val="00C1695E"/>
    <w:rsid w:val="00C1753E"/>
    <w:rsid w:val="00C2076A"/>
    <w:rsid w:val="00C207E6"/>
    <w:rsid w:val="00C210BB"/>
    <w:rsid w:val="00C2125F"/>
    <w:rsid w:val="00C214F3"/>
    <w:rsid w:val="00C21921"/>
    <w:rsid w:val="00C2226E"/>
    <w:rsid w:val="00C22D8D"/>
    <w:rsid w:val="00C235BA"/>
    <w:rsid w:val="00C250A2"/>
    <w:rsid w:val="00C2575F"/>
    <w:rsid w:val="00C261B5"/>
    <w:rsid w:val="00C2753E"/>
    <w:rsid w:val="00C27E2D"/>
    <w:rsid w:val="00C27F96"/>
    <w:rsid w:val="00C3011D"/>
    <w:rsid w:val="00C30FDA"/>
    <w:rsid w:val="00C33364"/>
    <w:rsid w:val="00C34760"/>
    <w:rsid w:val="00C34B2C"/>
    <w:rsid w:val="00C35036"/>
    <w:rsid w:val="00C35890"/>
    <w:rsid w:val="00C35996"/>
    <w:rsid w:val="00C35A01"/>
    <w:rsid w:val="00C362E6"/>
    <w:rsid w:val="00C36CF4"/>
    <w:rsid w:val="00C374A1"/>
    <w:rsid w:val="00C3777A"/>
    <w:rsid w:val="00C37A5F"/>
    <w:rsid w:val="00C37A6E"/>
    <w:rsid w:val="00C37C4A"/>
    <w:rsid w:val="00C40B9E"/>
    <w:rsid w:val="00C41393"/>
    <w:rsid w:val="00C42559"/>
    <w:rsid w:val="00C42E59"/>
    <w:rsid w:val="00C43483"/>
    <w:rsid w:val="00C439D8"/>
    <w:rsid w:val="00C43DB6"/>
    <w:rsid w:val="00C43F90"/>
    <w:rsid w:val="00C44499"/>
    <w:rsid w:val="00C44B77"/>
    <w:rsid w:val="00C44F2E"/>
    <w:rsid w:val="00C461AB"/>
    <w:rsid w:val="00C467DC"/>
    <w:rsid w:val="00C46BAE"/>
    <w:rsid w:val="00C46C26"/>
    <w:rsid w:val="00C472EB"/>
    <w:rsid w:val="00C50423"/>
    <w:rsid w:val="00C51811"/>
    <w:rsid w:val="00C52717"/>
    <w:rsid w:val="00C52C77"/>
    <w:rsid w:val="00C52F1B"/>
    <w:rsid w:val="00C53689"/>
    <w:rsid w:val="00C53A75"/>
    <w:rsid w:val="00C5458A"/>
    <w:rsid w:val="00C545BB"/>
    <w:rsid w:val="00C54BD8"/>
    <w:rsid w:val="00C54DD7"/>
    <w:rsid w:val="00C5553F"/>
    <w:rsid w:val="00C55632"/>
    <w:rsid w:val="00C557EC"/>
    <w:rsid w:val="00C56319"/>
    <w:rsid w:val="00C563D8"/>
    <w:rsid w:val="00C57068"/>
    <w:rsid w:val="00C572E6"/>
    <w:rsid w:val="00C57AC6"/>
    <w:rsid w:val="00C57B73"/>
    <w:rsid w:val="00C60A08"/>
    <w:rsid w:val="00C613BF"/>
    <w:rsid w:val="00C617FD"/>
    <w:rsid w:val="00C61B3A"/>
    <w:rsid w:val="00C625CC"/>
    <w:rsid w:val="00C6279D"/>
    <w:rsid w:val="00C62D68"/>
    <w:rsid w:val="00C63337"/>
    <w:rsid w:val="00C63C33"/>
    <w:rsid w:val="00C63DCC"/>
    <w:rsid w:val="00C64395"/>
    <w:rsid w:val="00C65BD4"/>
    <w:rsid w:val="00C66641"/>
    <w:rsid w:val="00C67F2A"/>
    <w:rsid w:val="00C70CB5"/>
    <w:rsid w:val="00C71B4C"/>
    <w:rsid w:val="00C72BA8"/>
    <w:rsid w:val="00C72E30"/>
    <w:rsid w:val="00C72E62"/>
    <w:rsid w:val="00C733C5"/>
    <w:rsid w:val="00C7375A"/>
    <w:rsid w:val="00C73842"/>
    <w:rsid w:val="00C7400D"/>
    <w:rsid w:val="00C75233"/>
    <w:rsid w:val="00C75C43"/>
    <w:rsid w:val="00C76851"/>
    <w:rsid w:val="00C76F49"/>
    <w:rsid w:val="00C776DA"/>
    <w:rsid w:val="00C779E0"/>
    <w:rsid w:val="00C77BCE"/>
    <w:rsid w:val="00C80127"/>
    <w:rsid w:val="00C80A5D"/>
    <w:rsid w:val="00C80ACC"/>
    <w:rsid w:val="00C81C28"/>
    <w:rsid w:val="00C82124"/>
    <w:rsid w:val="00C82CCE"/>
    <w:rsid w:val="00C831C0"/>
    <w:rsid w:val="00C84AE4"/>
    <w:rsid w:val="00C85503"/>
    <w:rsid w:val="00C85BA9"/>
    <w:rsid w:val="00C874FA"/>
    <w:rsid w:val="00C875B3"/>
    <w:rsid w:val="00C9076C"/>
    <w:rsid w:val="00C91669"/>
    <w:rsid w:val="00C9180D"/>
    <w:rsid w:val="00C91CC4"/>
    <w:rsid w:val="00C92511"/>
    <w:rsid w:val="00C92B62"/>
    <w:rsid w:val="00C935CA"/>
    <w:rsid w:val="00C93907"/>
    <w:rsid w:val="00C944E5"/>
    <w:rsid w:val="00C94735"/>
    <w:rsid w:val="00C955A1"/>
    <w:rsid w:val="00C96318"/>
    <w:rsid w:val="00C97265"/>
    <w:rsid w:val="00C974CE"/>
    <w:rsid w:val="00CA049A"/>
    <w:rsid w:val="00CA1337"/>
    <w:rsid w:val="00CA17B6"/>
    <w:rsid w:val="00CA1C50"/>
    <w:rsid w:val="00CA211D"/>
    <w:rsid w:val="00CA2462"/>
    <w:rsid w:val="00CA2712"/>
    <w:rsid w:val="00CA27E3"/>
    <w:rsid w:val="00CA3145"/>
    <w:rsid w:val="00CA321B"/>
    <w:rsid w:val="00CA3665"/>
    <w:rsid w:val="00CA3BA3"/>
    <w:rsid w:val="00CA3F5D"/>
    <w:rsid w:val="00CA3FCE"/>
    <w:rsid w:val="00CA5A45"/>
    <w:rsid w:val="00CA5B96"/>
    <w:rsid w:val="00CA61C0"/>
    <w:rsid w:val="00CA6901"/>
    <w:rsid w:val="00CA6EEB"/>
    <w:rsid w:val="00CA750F"/>
    <w:rsid w:val="00CB021D"/>
    <w:rsid w:val="00CB0507"/>
    <w:rsid w:val="00CB09D5"/>
    <w:rsid w:val="00CB1779"/>
    <w:rsid w:val="00CB2E15"/>
    <w:rsid w:val="00CB33F3"/>
    <w:rsid w:val="00CB5AB3"/>
    <w:rsid w:val="00CB637E"/>
    <w:rsid w:val="00CB6408"/>
    <w:rsid w:val="00CB6629"/>
    <w:rsid w:val="00CB67BA"/>
    <w:rsid w:val="00CB6936"/>
    <w:rsid w:val="00CB6C8F"/>
    <w:rsid w:val="00CB70B7"/>
    <w:rsid w:val="00CB776D"/>
    <w:rsid w:val="00CC0348"/>
    <w:rsid w:val="00CC04E4"/>
    <w:rsid w:val="00CC0ABA"/>
    <w:rsid w:val="00CC0D95"/>
    <w:rsid w:val="00CC0F6C"/>
    <w:rsid w:val="00CC1590"/>
    <w:rsid w:val="00CC1B69"/>
    <w:rsid w:val="00CC2EB0"/>
    <w:rsid w:val="00CC3149"/>
    <w:rsid w:val="00CC363A"/>
    <w:rsid w:val="00CC483A"/>
    <w:rsid w:val="00CC6359"/>
    <w:rsid w:val="00CC6439"/>
    <w:rsid w:val="00CC6FF5"/>
    <w:rsid w:val="00CC70F0"/>
    <w:rsid w:val="00CC7FD9"/>
    <w:rsid w:val="00CD00CD"/>
    <w:rsid w:val="00CD0286"/>
    <w:rsid w:val="00CD0944"/>
    <w:rsid w:val="00CD112E"/>
    <w:rsid w:val="00CD1495"/>
    <w:rsid w:val="00CD2B3E"/>
    <w:rsid w:val="00CD2D0F"/>
    <w:rsid w:val="00CD2EAD"/>
    <w:rsid w:val="00CD2EB9"/>
    <w:rsid w:val="00CD365A"/>
    <w:rsid w:val="00CD370D"/>
    <w:rsid w:val="00CD47BD"/>
    <w:rsid w:val="00CD4859"/>
    <w:rsid w:val="00CD5196"/>
    <w:rsid w:val="00CD59E7"/>
    <w:rsid w:val="00CD6462"/>
    <w:rsid w:val="00CD65B9"/>
    <w:rsid w:val="00CD69DB"/>
    <w:rsid w:val="00CD6B25"/>
    <w:rsid w:val="00CD7902"/>
    <w:rsid w:val="00CE0663"/>
    <w:rsid w:val="00CE08BE"/>
    <w:rsid w:val="00CE16EB"/>
    <w:rsid w:val="00CE19FE"/>
    <w:rsid w:val="00CE2235"/>
    <w:rsid w:val="00CE45B4"/>
    <w:rsid w:val="00CE48EA"/>
    <w:rsid w:val="00CE4C2A"/>
    <w:rsid w:val="00CE4C46"/>
    <w:rsid w:val="00CE4C5F"/>
    <w:rsid w:val="00CE4D4D"/>
    <w:rsid w:val="00CE5457"/>
    <w:rsid w:val="00CE5733"/>
    <w:rsid w:val="00CE5743"/>
    <w:rsid w:val="00CE5F64"/>
    <w:rsid w:val="00CE5FF0"/>
    <w:rsid w:val="00CE6486"/>
    <w:rsid w:val="00CE6563"/>
    <w:rsid w:val="00CE6740"/>
    <w:rsid w:val="00CE6D0D"/>
    <w:rsid w:val="00CE756E"/>
    <w:rsid w:val="00CE7725"/>
    <w:rsid w:val="00CE77E2"/>
    <w:rsid w:val="00CE7B4B"/>
    <w:rsid w:val="00CF0BCD"/>
    <w:rsid w:val="00CF0D3C"/>
    <w:rsid w:val="00CF143B"/>
    <w:rsid w:val="00CF1607"/>
    <w:rsid w:val="00CF1EE0"/>
    <w:rsid w:val="00CF2172"/>
    <w:rsid w:val="00CF2313"/>
    <w:rsid w:val="00CF2371"/>
    <w:rsid w:val="00CF267E"/>
    <w:rsid w:val="00CF29B3"/>
    <w:rsid w:val="00CF2B13"/>
    <w:rsid w:val="00CF41F8"/>
    <w:rsid w:val="00CF4593"/>
    <w:rsid w:val="00CF5899"/>
    <w:rsid w:val="00CF5B25"/>
    <w:rsid w:val="00CF6308"/>
    <w:rsid w:val="00CF6BF7"/>
    <w:rsid w:val="00CF6EA7"/>
    <w:rsid w:val="00CF78D9"/>
    <w:rsid w:val="00D01384"/>
    <w:rsid w:val="00D013C6"/>
    <w:rsid w:val="00D01A48"/>
    <w:rsid w:val="00D01A6A"/>
    <w:rsid w:val="00D0273D"/>
    <w:rsid w:val="00D02F3C"/>
    <w:rsid w:val="00D041F3"/>
    <w:rsid w:val="00D044EA"/>
    <w:rsid w:val="00D04CF1"/>
    <w:rsid w:val="00D0554C"/>
    <w:rsid w:val="00D057BF"/>
    <w:rsid w:val="00D05927"/>
    <w:rsid w:val="00D05C4B"/>
    <w:rsid w:val="00D062B3"/>
    <w:rsid w:val="00D063D9"/>
    <w:rsid w:val="00D06A5B"/>
    <w:rsid w:val="00D0745E"/>
    <w:rsid w:val="00D07BD7"/>
    <w:rsid w:val="00D10633"/>
    <w:rsid w:val="00D10B2C"/>
    <w:rsid w:val="00D10EDC"/>
    <w:rsid w:val="00D12996"/>
    <w:rsid w:val="00D130F3"/>
    <w:rsid w:val="00D13C28"/>
    <w:rsid w:val="00D14110"/>
    <w:rsid w:val="00D144B9"/>
    <w:rsid w:val="00D147C8"/>
    <w:rsid w:val="00D154B2"/>
    <w:rsid w:val="00D15772"/>
    <w:rsid w:val="00D15D41"/>
    <w:rsid w:val="00D1608B"/>
    <w:rsid w:val="00D16176"/>
    <w:rsid w:val="00D16595"/>
    <w:rsid w:val="00D17D5B"/>
    <w:rsid w:val="00D20271"/>
    <w:rsid w:val="00D210B1"/>
    <w:rsid w:val="00D213A7"/>
    <w:rsid w:val="00D21A79"/>
    <w:rsid w:val="00D226FC"/>
    <w:rsid w:val="00D22C49"/>
    <w:rsid w:val="00D24412"/>
    <w:rsid w:val="00D25406"/>
    <w:rsid w:val="00D2570D"/>
    <w:rsid w:val="00D2599A"/>
    <w:rsid w:val="00D25FFF"/>
    <w:rsid w:val="00D26788"/>
    <w:rsid w:val="00D276F2"/>
    <w:rsid w:val="00D27892"/>
    <w:rsid w:val="00D303EC"/>
    <w:rsid w:val="00D30466"/>
    <w:rsid w:val="00D308C6"/>
    <w:rsid w:val="00D30EB5"/>
    <w:rsid w:val="00D3134E"/>
    <w:rsid w:val="00D31824"/>
    <w:rsid w:val="00D31935"/>
    <w:rsid w:val="00D31BDE"/>
    <w:rsid w:val="00D31D09"/>
    <w:rsid w:val="00D33BEA"/>
    <w:rsid w:val="00D33EB8"/>
    <w:rsid w:val="00D344C7"/>
    <w:rsid w:val="00D356C3"/>
    <w:rsid w:val="00D37A4D"/>
    <w:rsid w:val="00D408F5"/>
    <w:rsid w:val="00D409EE"/>
    <w:rsid w:val="00D40C62"/>
    <w:rsid w:val="00D40EEB"/>
    <w:rsid w:val="00D4133E"/>
    <w:rsid w:val="00D416FD"/>
    <w:rsid w:val="00D417EE"/>
    <w:rsid w:val="00D41F54"/>
    <w:rsid w:val="00D42859"/>
    <w:rsid w:val="00D42AD2"/>
    <w:rsid w:val="00D43095"/>
    <w:rsid w:val="00D436AE"/>
    <w:rsid w:val="00D43977"/>
    <w:rsid w:val="00D44747"/>
    <w:rsid w:val="00D44C6D"/>
    <w:rsid w:val="00D44E12"/>
    <w:rsid w:val="00D44E52"/>
    <w:rsid w:val="00D458A8"/>
    <w:rsid w:val="00D47489"/>
    <w:rsid w:val="00D47527"/>
    <w:rsid w:val="00D500D6"/>
    <w:rsid w:val="00D51FA2"/>
    <w:rsid w:val="00D520E7"/>
    <w:rsid w:val="00D52210"/>
    <w:rsid w:val="00D52455"/>
    <w:rsid w:val="00D528F8"/>
    <w:rsid w:val="00D53662"/>
    <w:rsid w:val="00D53C63"/>
    <w:rsid w:val="00D5481F"/>
    <w:rsid w:val="00D548C6"/>
    <w:rsid w:val="00D55351"/>
    <w:rsid w:val="00D55929"/>
    <w:rsid w:val="00D57A89"/>
    <w:rsid w:val="00D60756"/>
    <w:rsid w:val="00D60EE1"/>
    <w:rsid w:val="00D6249F"/>
    <w:rsid w:val="00D62D60"/>
    <w:rsid w:val="00D62E66"/>
    <w:rsid w:val="00D64749"/>
    <w:rsid w:val="00D64855"/>
    <w:rsid w:val="00D651F6"/>
    <w:rsid w:val="00D65831"/>
    <w:rsid w:val="00D65A65"/>
    <w:rsid w:val="00D668E2"/>
    <w:rsid w:val="00D66E1E"/>
    <w:rsid w:val="00D67C79"/>
    <w:rsid w:val="00D70451"/>
    <w:rsid w:val="00D70559"/>
    <w:rsid w:val="00D7089A"/>
    <w:rsid w:val="00D7108F"/>
    <w:rsid w:val="00D71F9D"/>
    <w:rsid w:val="00D72501"/>
    <w:rsid w:val="00D726CB"/>
    <w:rsid w:val="00D72A62"/>
    <w:rsid w:val="00D72E88"/>
    <w:rsid w:val="00D7451C"/>
    <w:rsid w:val="00D74675"/>
    <w:rsid w:val="00D74AE1"/>
    <w:rsid w:val="00D74F02"/>
    <w:rsid w:val="00D77652"/>
    <w:rsid w:val="00D8027C"/>
    <w:rsid w:val="00D80959"/>
    <w:rsid w:val="00D820C1"/>
    <w:rsid w:val="00D82958"/>
    <w:rsid w:val="00D8378A"/>
    <w:rsid w:val="00D8391A"/>
    <w:rsid w:val="00D84200"/>
    <w:rsid w:val="00D84F3A"/>
    <w:rsid w:val="00D85429"/>
    <w:rsid w:val="00D855FA"/>
    <w:rsid w:val="00D857C2"/>
    <w:rsid w:val="00D86361"/>
    <w:rsid w:val="00D870FD"/>
    <w:rsid w:val="00D8770A"/>
    <w:rsid w:val="00D87C76"/>
    <w:rsid w:val="00D904B5"/>
    <w:rsid w:val="00D90AE9"/>
    <w:rsid w:val="00D90DDE"/>
    <w:rsid w:val="00D90FC9"/>
    <w:rsid w:val="00D9123F"/>
    <w:rsid w:val="00D917C4"/>
    <w:rsid w:val="00D9188A"/>
    <w:rsid w:val="00D920CA"/>
    <w:rsid w:val="00D924D9"/>
    <w:rsid w:val="00D929D9"/>
    <w:rsid w:val="00D93090"/>
    <w:rsid w:val="00D93877"/>
    <w:rsid w:val="00D93A1E"/>
    <w:rsid w:val="00D93FFA"/>
    <w:rsid w:val="00D9457B"/>
    <w:rsid w:val="00D94BD9"/>
    <w:rsid w:val="00D94FDB"/>
    <w:rsid w:val="00D950D9"/>
    <w:rsid w:val="00D959F0"/>
    <w:rsid w:val="00D964DF"/>
    <w:rsid w:val="00D9684B"/>
    <w:rsid w:val="00D9734C"/>
    <w:rsid w:val="00DA04C6"/>
    <w:rsid w:val="00DA05F8"/>
    <w:rsid w:val="00DA0DBB"/>
    <w:rsid w:val="00DA163B"/>
    <w:rsid w:val="00DA16D2"/>
    <w:rsid w:val="00DA1AC7"/>
    <w:rsid w:val="00DA1F3B"/>
    <w:rsid w:val="00DA2349"/>
    <w:rsid w:val="00DA2D1E"/>
    <w:rsid w:val="00DA3529"/>
    <w:rsid w:val="00DA352D"/>
    <w:rsid w:val="00DA4773"/>
    <w:rsid w:val="00DA519D"/>
    <w:rsid w:val="00DA6196"/>
    <w:rsid w:val="00DA6654"/>
    <w:rsid w:val="00DA6F93"/>
    <w:rsid w:val="00DA724A"/>
    <w:rsid w:val="00DA73BA"/>
    <w:rsid w:val="00DA77D4"/>
    <w:rsid w:val="00DB046A"/>
    <w:rsid w:val="00DB04B8"/>
    <w:rsid w:val="00DB0C34"/>
    <w:rsid w:val="00DB0DBA"/>
    <w:rsid w:val="00DB1542"/>
    <w:rsid w:val="00DB1B0D"/>
    <w:rsid w:val="00DB2B77"/>
    <w:rsid w:val="00DB3233"/>
    <w:rsid w:val="00DB3EF6"/>
    <w:rsid w:val="00DB40D5"/>
    <w:rsid w:val="00DB4359"/>
    <w:rsid w:val="00DB4F08"/>
    <w:rsid w:val="00DB4F26"/>
    <w:rsid w:val="00DB52F8"/>
    <w:rsid w:val="00DB570A"/>
    <w:rsid w:val="00DB5836"/>
    <w:rsid w:val="00DB5EC0"/>
    <w:rsid w:val="00DB6017"/>
    <w:rsid w:val="00DB6301"/>
    <w:rsid w:val="00DB677B"/>
    <w:rsid w:val="00DB7B92"/>
    <w:rsid w:val="00DC030D"/>
    <w:rsid w:val="00DC06D4"/>
    <w:rsid w:val="00DC1232"/>
    <w:rsid w:val="00DC1478"/>
    <w:rsid w:val="00DC162B"/>
    <w:rsid w:val="00DC1786"/>
    <w:rsid w:val="00DC1D0B"/>
    <w:rsid w:val="00DC1E09"/>
    <w:rsid w:val="00DC20FC"/>
    <w:rsid w:val="00DC3D38"/>
    <w:rsid w:val="00DC4000"/>
    <w:rsid w:val="00DC4320"/>
    <w:rsid w:val="00DC4D01"/>
    <w:rsid w:val="00DC630E"/>
    <w:rsid w:val="00DC6778"/>
    <w:rsid w:val="00DC678E"/>
    <w:rsid w:val="00DC68B1"/>
    <w:rsid w:val="00DC73B5"/>
    <w:rsid w:val="00DC7C37"/>
    <w:rsid w:val="00DD025F"/>
    <w:rsid w:val="00DD0577"/>
    <w:rsid w:val="00DD0658"/>
    <w:rsid w:val="00DD26A3"/>
    <w:rsid w:val="00DD2895"/>
    <w:rsid w:val="00DD2909"/>
    <w:rsid w:val="00DD2FD5"/>
    <w:rsid w:val="00DD3204"/>
    <w:rsid w:val="00DD3363"/>
    <w:rsid w:val="00DD37B2"/>
    <w:rsid w:val="00DD3AF6"/>
    <w:rsid w:val="00DD403E"/>
    <w:rsid w:val="00DD4C52"/>
    <w:rsid w:val="00DD581C"/>
    <w:rsid w:val="00DD59AC"/>
    <w:rsid w:val="00DD5B48"/>
    <w:rsid w:val="00DD622E"/>
    <w:rsid w:val="00DD69D0"/>
    <w:rsid w:val="00DD6A02"/>
    <w:rsid w:val="00DD771A"/>
    <w:rsid w:val="00DD7CAB"/>
    <w:rsid w:val="00DE0C2C"/>
    <w:rsid w:val="00DE1412"/>
    <w:rsid w:val="00DE205C"/>
    <w:rsid w:val="00DE2060"/>
    <w:rsid w:val="00DE2310"/>
    <w:rsid w:val="00DE2383"/>
    <w:rsid w:val="00DE29EA"/>
    <w:rsid w:val="00DE3099"/>
    <w:rsid w:val="00DE3233"/>
    <w:rsid w:val="00DE4C04"/>
    <w:rsid w:val="00DE4E24"/>
    <w:rsid w:val="00DE5816"/>
    <w:rsid w:val="00DE5ECD"/>
    <w:rsid w:val="00DE6381"/>
    <w:rsid w:val="00DE7866"/>
    <w:rsid w:val="00DE789F"/>
    <w:rsid w:val="00DE7D37"/>
    <w:rsid w:val="00DE7D6C"/>
    <w:rsid w:val="00DF0054"/>
    <w:rsid w:val="00DF08B8"/>
    <w:rsid w:val="00DF0FBC"/>
    <w:rsid w:val="00DF1D75"/>
    <w:rsid w:val="00DF297A"/>
    <w:rsid w:val="00DF2C8D"/>
    <w:rsid w:val="00DF35B8"/>
    <w:rsid w:val="00DF36FF"/>
    <w:rsid w:val="00DF3D80"/>
    <w:rsid w:val="00DF47C3"/>
    <w:rsid w:val="00DF59D8"/>
    <w:rsid w:val="00DF66B8"/>
    <w:rsid w:val="00DF6BB7"/>
    <w:rsid w:val="00DF6C7B"/>
    <w:rsid w:val="00DF6CB9"/>
    <w:rsid w:val="00E0083F"/>
    <w:rsid w:val="00E00D65"/>
    <w:rsid w:val="00E00EA6"/>
    <w:rsid w:val="00E02D86"/>
    <w:rsid w:val="00E03487"/>
    <w:rsid w:val="00E03C74"/>
    <w:rsid w:val="00E0468D"/>
    <w:rsid w:val="00E0546A"/>
    <w:rsid w:val="00E0579B"/>
    <w:rsid w:val="00E05A90"/>
    <w:rsid w:val="00E05CDF"/>
    <w:rsid w:val="00E1230F"/>
    <w:rsid w:val="00E123CA"/>
    <w:rsid w:val="00E12464"/>
    <w:rsid w:val="00E12DBA"/>
    <w:rsid w:val="00E1304E"/>
    <w:rsid w:val="00E132A8"/>
    <w:rsid w:val="00E13303"/>
    <w:rsid w:val="00E134C3"/>
    <w:rsid w:val="00E147BC"/>
    <w:rsid w:val="00E156EA"/>
    <w:rsid w:val="00E159A3"/>
    <w:rsid w:val="00E16AA3"/>
    <w:rsid w:val="00E16AF8"/>
    <w:rsid w:val="00E17825"/>
    <w:rsid w:val="00E17EC8"/>
    <w:rsid w:val="00E20305"/>
    <w:rsid w:val="00E2181D"/>
    <w:rsid w:val="00E221A8"/>
    <w:rsid w:val="00E224F0"/>
    <w:rsid w:val="00E22882"/>
    <w:rsid w:val="00E2313C"/>
    <w:rsid w:val="00E23DA9"/>
    <w:rsid w:val="00E24EAA"/>
    <w:rsid w:val="00E2538A"/>
    <w:rsid w:val="00E25514"/>
    <w:rsid w:val="00E2612A"/>
    <w:rsid w:val="00E26A19"/>
    <w:rsid w:val="00E2717A"/>
    <w:rsid w:val="00E27532"/>
    <w:rsid w:val="00E27D8F"/>
    <w:rsid w:val="00E30E46"/>
    <w:rsid w:val="00E3177B"/>
    <w:rsid w:val="00E317E8"/>
    <w:rsid w:val="00E327D6"/>
    <w:rsid w:val="00E32913"/>
    <w:rsid w:val="00E32AA1"/>
    <w:rsid w:val="00E33A01"/>
    <w:rsid w:val="00E33C7D"/>
    <w:rsid w:val="00E3474C"/>
    <w:rsid w:val="00E35063"/>
    <w:rsid w:val="00E35265"/>
    <w:rsid w:val="00E3553E"/>
    <w:rsid w:val="00E36784"/>
    <w:rsid w:val="00E37577"/>
    <w:rsid w:val="00E4007D"/>
    <w:rsid w:val="00E4022F"/>
    <w:rsid w:val="00E40930"/>
    <w:rsid w:val="00E40CC0"/>
    <w:rsid w:val="00E40D12"/>
    <w:rsid w:val="00E4132C"/>
    <w:rsid w:val="00E414CA"/>
    <w:rsid w:val="00E419BB"/>
    <w:rsid w:val="00E41A77"/>
    <w:rsid w:val="00E42985"/>
    <w:rsid w:val="00E43351"/>
    <w:rsid w:val="00E434EB"/>
    <w:rsid w:val="00E436B2"/>
    <w:rsid w:val="00E44649"/>
    <w:rsid w:val="00E448F9"/>
    <w:rsid w:val="00E44E03"/>
    <w:rsid w:val="00E45AF4"/>
    <w:rsid w:val="00E46689"/>
    <w:rsid w:val="00E4688E"/>
    <w:rsid w:val="00E46C53"/>
    <w:rsid w:val="00E47121"/>
    <w:rsid w:val="00E50553"/>
    <w:rsid w:val="00E50901"/>
    <w:rsid w:val="00E51D85"/>
    <w:rsid w:val="00E5258F"/>
    <w:rsid w:val="00E52596"/>
    <w:rsid w:val="00E5320D"/>
    <w:rsid w:val="00E5353B"/>
    <w:rsid w:val="00E53620"/>
    <w:rsid w:val="00E54203"/>
    <w:rsid w:val="00E54A32"/>
    <w:rsid w:val="00E56092"/>
    <w:rsid w:val="00E56257"/>
    <w:rsid w:val="00E56D67"/>
    <w:rsid w:val="00E614A9"/>
    <w:rsid w:val="00E61ADF"/>
    <w:rsid w:val="00E61AF1"/>
    <w:rsid w:val="00E626AD"/>
    <w:rsid w:val="00E62949"/>
    <w:rsid w:val="00E629D6"/>
    <w:rsid w:val="00E62CBF"/>
    <w:rsid w:val="00E635D0"/>
    <w:rsid w:val="00E63A66"/>
    <w:rsid w:val="00E6493A"/>
    <w:rsid w:val="00E64E25"/>
    <w:rsid w:val="00E65C6F"/>
    <w:rsid w:val="00E66010"/>
    <w:rsid w:val="00E66B1C"/>
    <w:rsid w:val="00E67C70"/>
    <w:rsid w:val="00E67D70"/>
    <w:rsid w:val="00E712FE"/>
    <w:rsid w:val="00E71312"/>
    <w:rsid w:val="00E723B0"/>
    <w:rsid w:val="00E72AC2"/>
    <w:rsid w:val="00E72B78"/>
    <w:rsid w:val="00E7342A"/>
    <w:rsid w:val="00E7347C"/>
    <w:rsid w:val="00E74A06"/>
    <w:rsid w:val="00E7547B"/>
    <w:rsid w:val="00E757AA"/>
    <w:rsid w:val="00E76081"/>
    <w:rsid w:val="00E76BAD"/>
    <w:rsid w:val="00E7734E"/>
    <w:rsid w:val="00E77A24"/>
    <w:rsid w:val="00E77FE2"/>
    <w:rsid w:val="00E8024A"/>
    <w:rsid w:val="00E8058A"/>
    <w:rsid w:val="00E80BA8"/>
    <w:rsid w:val="00E8122E"/>
    <w:rsid w:val="00E81339"/>
    <w:rsid w:val="00E818FC"/>
    <w:rsid w:val="00E82FAB"/>
    <w:rsid w:val="00E83255"/>
    <w:rsid w:val="00E83E9D"/>
    <w:rsid w:val="00E84938"/>
    <w:rsid w:val="00E85009"/>
    <w:rsid w:val="00E85577"/>
    <w:rsid w:val="00E864E3"/>
    <w:rsid w:val="00E86724"/>
    <w:rsid w:val="00E86B15"/>
    <w:rsid w:val="00E86BA9"/>
    <w:rsid w:val="00E86EFB"/>
    <w:rsid w:val="00E872A0"/>
    <w:rsid w:val="00E8741C"/>
    <w:rsid w:val="00E878B0"/>
    <w:rsid w:val="00E90625"/>
    <w:rsid w:val="00E910C7"/>
    <w:rsid w:val="00E911DA"/>
    <w:rsid w:val="00E912FD"/>
    <w:rsid w:val="00E91C0E"/>
    <w:rsid w:val="00E91E97"/>
    <w:rsid w:val="00E9209A"/>
    <w:rsid w:val="00E94DB2"/>
    <w:rsid w:val="00E94F11"/>
    <w:rsid w:val="00E9510C"/>
    <w:rsid w:val="00E9515F"/>
    <w:rsid w:val="00E952D0"/>
    <w:rsid w:val="00E956D7"/>
    <w:rsid w:val="00E95976"/>
    <w:rsid w:val="00E960B6"/>
    <w:rsid w:val="00E96682"/>
    <w:rsid w:val="00E9688B"/>
    <w:rsid w:val="00E9691F"/>
    <w:rsid w:val="00EA0E06"/>
    <w:rsid w:val="00EA1309"/>
    <w:rsid w:val="00EA167C"/>
    <w:rsid w:val="00EA2F4E"/>
    <w:rsid w:val="00EA318F"/>
    <w:rsid w:val="00EA5475"/>
    <w:rsid w:val="00EA5B1C"/>
    <w:rsid w:val="00EA5DA7"/>
    <w:rsid w:val="00EA6D42"/>
    <w:rsid w:val="00EB0814"/>
    <w:rsid w:val="00EB1614"/>
    <w:rsid w:val="00EB2A95"/>
    <w:rsid w:val="00EB2D7D"/>
    <w:rsid w:val="00EB3057"/>
    <w:rsid w:val="00EB31E3"/>
    <w:rsid w:val="00EB3EC7"/>
    <w:rsid w:val="00EB5986"/>
    <w:rsid w:val="00EB59BA"/>
    <w:rsid w:val="00EB5EC2"/>
    <w:rsid w:val="00EB6220"/>
    <w:rsid w:val="00EB644F"/>
    <w:rsid w:val="00EB69C0"/>
    <w:rsid w:val="00EB6ED8"/>
    <w:rsid w:val="00EB758E"/>
    <w:rsid w:val="00EC0309"/>
    <w:rsid w:val="00EC0533"/>
    <w:rsid w:val="00EC11EC"/>
    <w:rsid w:val="00EC143D"/>
    <w:rsid w:val="00EC16A7"/>
    <w:rsid w:val="00EC348F"/>
    <w:rsid w:val="00EC3615"/>
    <w:rsid w:val="00EC3EA1"/>
    <w:rsid w:val="00EC46D2"/>
    <w:rsid w:val="00EC4C9A"/>
    <w:rsid w:val="00EC5454"/>
    <w:rsid w:val="00EC54F7"/>
    <w:rsid w:val="00EC5647"/>
    <w:rsid w:val="00EC57E2"/>
    <w:rsid w:val="00EC67AF"/>
    <w:rsid w:val="00EC6ED9"/>
    <w:rsid w:val="00EC736A"/>
    <w:rsid w:val="00EC737E"/>
    <w:rsid w:val="00ED0460"/>
    <w:rsid w:val="00ED0893"/>
    <w:rsid w:val="00ED0E08"/>
    <w:rsid w:val="00ED15A5"/>
    <w:rsid w:val="00ED1634"/>
    <w:rsid w:val="00ED18CF"/>
    <w:rsid w:val="00ED1986"/>
    <w:rsid w:val="00ED1DB0"/>
    <w:rsid w:val="00ED2171"/>
    <w:rsid w:val="00ED29BB"/>
    <w:rsid w:val="00ED2C01"/>
    <w:rsid w:val="00ED2D8B"/>
    <w:rsid w:val="00ED3331"/>
    <w:rsid w:val="00ED389C"/>
    <w:rsid w:val="00ED3C3B"/>
    <w:rsid w:val="00ED3E75"/>
    <w:rsid w:val="00ED3ECF"/>
    <w:rsid w:val="00ED3F4C"/>
    <w:rsid w:val="00ED405F"/>
    <w:rsid w:val="00ED4157"/>
    <w:rsid w:val="00ED4478"/>
    <w:rsid w:val="00ED4B08"/>
    <w:rsid w:val="00ED4DD2"/>
    <w:rsid w:val="00ED55ED"/>
    <w:rsid w:val="00ED56B9"/>
    <w:rsid w:val="00ED581B"/>
    <w:rsid w:val="00ED5E91"/>
    <w:rsid w:val="00ED6642"/>
    <w:rsid w:val="00ED696F"/>
    <w:rsid w:val="00ED7709"/>
    <w:rsid w:val="00ED7B57"/>
    <w:rsid w:val="00ED7BB7"/>
    <w:rsid w:val="00EE0156"/>
    <w:rsid w:val="00EE03ED"/>
    <w:rsid w:val="00EE04D8"/>
    <w:rsid w:val="00EE0BAD"/>
    <w:rsid w:val="00EE17F5"/>
    <w:rsid w:val="00EE1BEE"/>
    <w:rsid w:val="00EE3509"/>
    <w:rsid w:val="00EE3511"/>
    <w:rsid w:val="00EE46D6"/>
    <w:rsid w:val="00EE486F"/>
    <w:rsid w:val="00EE4C34"/>
    <w:rsid w:val="00EE57D9"/>
    <w:rsid w:val="00EE5A29"/>
    <w:rsid w:val="00EE5C7E"/>
    <w:rsid w:val="00EE609E"/>
    <w:rsid w:val="00EE62FA"/>
    <w:rsid w:val="00EE6545"/>
    <w:rsid w:val="00EE7199"/>
    <w:rsid w:val="00EE74D3"/>
    <w:rsid w:val="00EE7607"/>
    <w:rsid w:val="00EE7860"/>
    <w:rsid w:val="00EE7A42"/>
    <w:rsid w:val="00EF047B"/>
    <w:rsid w:val="00EF06A7"/>
    <w:rsid w:val="00EF091C"/>
    <w:rsid w:val="00EF1001"/>
    <w:rsid w:val="00EF1142"/>
    <w:rsid w:val="00EF1924"/>
    <w:rsid w:val="00EF1C2C"/>
    <w:rsid w:val="00EF1D32"/>
    <w:rsid w:val="00EF277E"/>
    <w:rsid w:val="00EF36B2"/>
    <w:rsid w:val="00EF3AD1"/>
    <w:rsid w:val="00EF403C"/>
    <w:rsid w:val="00EF4B68"/>
    <w:rsid w:val="00EF5A8C"/>
    <w:rsid w:val="00EF6354"/>
    <w:rsid w:val="00EF69C8"/>
    <w:rsid w:val="00EF6C3C"/>
    <w:rsid w:val="00EF6DA5"/>
    <w:rsid w:val="00EF7172"/>
    <w:rsid w:val="00EF71E9"/>
    <w:rsid w:val="00EF763B"/>
    <w:rsid w:val="00EF7BDF"/>
    <w:rsid w:val="00EF7CA9"/>
    <w:rsid w:val="00EF7F22"/>
    <w:rsid w:val="00F0082C"/>
    <w:rsid w:val="00F01090"/>
    <w:rsid w:val="00F010F2"/>
    <w:rsid w:val="00F013AB"/>
    <w:rsid w:val="00F032DA"/>
    <w:rsid w:val="00F03AEE"/>
    <w:rsid w:val="00F03F57"/>
    <w:rsid w:val="00F0506B"/>
    <w:rsid w:val="00F06B66"/>
    <w:rsid w:val="00F06BC3"/>
    <w:rsid w:val="00F06E4B"/>
    <w:rsid w:val="00F06F2C"/>
    <w:rsid w:val="00F06F75"/>
    <w:rsid w:val="00F0723A"/>
    <w:rsid w:val="00F072DB"/>
    <w:rsid w:val="00F072FC"/>
    <w:rsid w:val="00F0758B"/>
    <w:rsid w:val="00F11139"/>
    <w:rsid w:val="00F11800"/>
    <w:rsid w:val="00F1191B"/>
    <w:rsid w:val="00F11D38"/>
    <w:rsid w:val="00F12AC0"/>
    <w:rsid w:val="00F12CE6"/>
    <w:rsid w:val="00F12F9A"/>
    <w:rsid w:val="00F13115"/>
    <w:rsid w:val="00F13F04"/>
    <w:rsid w:val="00F15A36"/>
    <w:rsid w:val="00F15E05"/>
    <w:rsid w:val="00F15E84"/>
    <w:rsid w:val="00F16056"/>
    <w:rsid w:val="00F163F9"/>
    <w:rsid w:val="00F171DB"/>
    <w:rsid w:val="00F17A37"/>
    <w:rsid w:val="00F20168"/>
    <w:rsid w:val="00F21082"/>
    <w:rsid w:val="00F212C0"/>
    <w:rsid w:val="00F226D0"/>
    <w:rsid w:val="00F22BB1"/>
    <w:rsid w:val="00F2337D"/>
    <w:rsid w:val="00F236ED"/>
    <w:rsid w:val="00F23F06"/>
    <w:rsid w:val="00F24B20"/>
    <w:rsid w:val="00F251C8"/>
    <w:rsid w:val="00F2529F"/>
    <w:rsid w:val="00F2588B"/>
    <w:rsid w:val="00F25DC4"/>
    <w:rsid w:val="00F263C7"/>
    <w:rsid w:val="00F2650D"/>
    <w:rsid w:val="00F26EF6"/>
    <w:rsid w:val="00F27487"/>
    <w:rsid w:val="00F277E3"/>
    <w:rsid w:val="00F27998"/>
    <w:rsid w:val="00F3376A"/>
    <w:rsid w:val="00F34629"/>
    <w:rsid w:val="00F347E8"/>
    <w:rsid w:val="00F34852"/>
    <w:rsid w:val="00F3663A"/>
    <w:rsid w:val="00F37742"/>
    <w:rsid w:val="00F3784C"/>
    <w:rsid w:val="00F42CB8"/>
    <w:rsid w:val="00F4393A"/>
    <w:rsid w:val="00F43A48"/>
    <w:rsid w:val="00F43E85"/>
    <w:rsid w:val="00F44068"/>
    <w:rsid w:val="00F44579"/>
    <w:rsid w:val="00F44620"/>
    <w:rsid w:val="00F44B7B"/>
    <w:rsid w:val="00F44C4A"/>
    <w:rsid w:val="00F4564F"/>
    <w:rsid w:val="00F45DAF"/>
    <w:rsid w:val="00F461A8"/>
    <w:rsid w:val="00F46EA9"/>
    <w:rsid w:val="00F474E6"/>
    <w:rsid w:val="00F504E3"/>
    <w:rsid w:val="00F50742"/>
    <w:rsid w:val="00F51255"/>
    <w:rsid w:val="00F513A0"/>
    <w:rsid w:val="00F537F3"/>
    <w:rsid w:val="00F53B6C"/>
    <w:rsid w:val="00F53C0E"/>
    <w:rsid w:val="00F53D8C"/>
    <w:rsid w:val="00F53FFC"/>
    <w:rsid w:val="00F547C5"/>
    <w:rsid w:val="00F54BA7"/>
    <w:rsid w:val="00F5528B"/>
    <w:rsid w:val="00F559BE"/>
    <w:rsid w:val="00F55CF6"/>
    <w:rsid w:val="00F56B29"/>
    <w:rsid w:val="00F56BAE"/>
    <w:rsid w:val="00F57057"/>
    <w:rsid w:val="00F60199"/>
    <w:rsid w:val="00F60EEC"/>
    <w:rsid w:val="00F61162"/>
    <w:rsid w:val="00F61B23"/>
    <w:rsid w:val="00F6201D"/>
    <w:rsid w:val="00F627C0"/>
    <w:rsid w:val="00F64149"/>
    <w:rsid w:val="00F64351"/>
    <w:rsid w:val="00F649A9"/>
    <w:rsid w:val="00F64CA4"/>
    <w:rsid w:val="00F653F2"/>
    <w:rsid w:val="00F65C31"/>
    <w:rsid w:val="00F66DD7"/>
    <w:rsid w:val="00F6768D"/>
    <w:rsid w:val="00F67E2A"/>
    <w:rsid w:val="00F67FD7"/>
    <w:rsid w:val="00F70487"/>
    <w:rsid w:val="00F70C14"/>
    <w:rsid w:val="00F70E0C"/>
    <w:rsid w:val="00F728A2"/>
    <w:rsid w:val="00F72F02"/>
    <w:rsid w:val="00F73057"/>
    <w:rsid w:val="00F73C1E"/>
    <w:rsid w:val="00F73E2F"/>
    <w:rsid w:val="00F744B8"/>
    <w:rsid w:val="00F746BF"/>
    <w:rsid w:val="00F74720"/>
    <w:rsid w:val="00F7531F"/>
    <w:rsid w:val="00F75DA5"/>
    <w:rsid w:val="00F76127"/>
    <w:rsid w:val="00F76DC3"/>
    <w:rsid w:val="00F802D7"/>
    <w:rsid w:val="00F8031B"/>
    <w:rsid w:val="00F80582"/>
    <w:rsid w:val="00F80AAB"/>
    <w:rsid w:val="00F80B61"/>
    <w:rsid w:val="00F811FC"/>
    <w:rsid w:val="00F81F3C"/>
    <w:rsid w:val="00F82D68"/>
    <w:rsid w:val="00F831AA"/>
    <w:rsid w:val="00F8320E"/>
    <w:rsid w:val="00F84656"/>
    <w:rsid w:val="00F84857"/>
    <w:rsid w:val="00F84C03"/>
    <w:rsid w:val="00F86437"/>
    <w:rsid w:val="00F86829"/>
    <w:rsid w:val="00F86907"/>
    <w:rsid w:val="00F90913"/>
    <w:rsid w:val="00F90B21"/>
    <w:rsid w:val="00F90EBF"/>
    <w:rsid w:val="00F9165D"/>
    <w:rsid w:val="00F916CD"/>
    <w:rsid w:val="00F91A6A"/>
    <w:rsid w:val="00F920D2"/>
    <w:rsid w:val="00F92167"/>
    <w:rsid w:val="00F92377"/>
    <w:rsid w:val="00F923BA"/>
    <w:rsid w:val="00F92AD4"/>
    <w:rsid w:val="00F92B0D"/>
    <w:rsid w:val="00F93416"/>
    <w:rsid w:val="00F93919"/>
    <w:rsid w:val="00F94479"/>
    <w:rsid w:val="00F95412"/>
    <w:rsid w:val="00F95813"/>
    <w:rsid w:val="00F959D8"/>
    <w:rsid w:val="00F95AA4"/>
    <w:rsid w:val="00F95E88"/>
    <w:rsid w:val="00F963B6"/>
    <w:rsid w:val="00F96FCC"/>
    <w:rsid w:val="00F976FF"/>
    <w:rsid w:val="00F978E0"/>
    <w:rsid w:val="00F97C37"/>
    <w:rsid w:val="00F97C67"/>
    <w:rsid w:val="00FA0C25"/>
    <w:rsid w:val="00FA273B"/>
    <w:rsid w:val="00FA2B38"/>
    <w:rsid w:val="00FA2D6D"/>
    <w:rsid w:val="00FA4F3D"/>
    <w:rsid w:val="00FA5416"/>
    <w:rsid w:val="00FA55E8"/>
    <w:rsid w:val="00FA5E56"/>
    <w:rsid w:val="00FA645E"/>
    <w:rsid w:val="00FA7200"/>
    <w:rsid w:val="00FA7FF2"/>
    <w:rsid w:val="00FB00BC"/>
    <w:rsid w:val="00FB0815"/>
    <w:rsid w:val="00FB0C9C"/>
    <w:rsid w:val="00FB1BF4"/>
    <w:rsid w:val="00FB1F8D"/>
    <w:rsid w:val="00FB2715"/>
    <w:rsid w:val="00FB2907"/>
    <w:rsid w:val="00FB301D"/>
    <w:rsid w:val="00FB3283"/>
    <w:rsid w:val="00FB438D"/>
    <w:rsid w:val="00FB4572"/>
    <w:rsid w:val="00FB46C5"/>
    <w:rsid w:val="00FB47E7"/>
    <w:rsid w:val="00FB492A"/>
    <w:rsid w:val="00FB5479"/>
    <w:rsid w:val="00FB59AA"/>
    <w:rsid w:val="00FB5D90"/>
    <w:rsid w:val="00FB6B55"/>
    <w:rsid w:val="00FB7772"/>
    <w:rsid w:val="00FC021D"/>
    <w:rsid w:val="00FC055B"/>
    <w:rsid w:val="00FC1B36"/>
    <w:rsid w:val="00FC286E"/>
    <w:rsid w:val="00FC28D3"/>
    <w:rsid w:val="00FC4A1D"/>
    <w:rsid w:val="00FC4C30"/>
    <w:rsid w:val="00FC55F9"/>
    <w:rsid w:val="00FC584D"/>
    <w:rsid w:val="00FC5A4C"/>
    <w:rsid w:val="00FC5C46"/>
    <w:rsid w:val="00FC63F5"/>
    <w:rsid w:val="00FC6833"/>
    <w:rsid w:val="00FC6893"/>
    <w:rsid w:val="00FC6956"/>
    <w:rsid w:val="00FC6A7B"/>
    <w:rsid w:val="00FC6EF6"/>
    <w:rsid w:val="00FC7C9A"/>
    <w:rsid w:val="00FC7E49"/>
    <w:rsid w:val="00FC7EBE"/>
    <w:rsid w:val="00FD0348"/>
    <w:rsid w:val="00FD145D"/>
    <w:rsid w:val="00FD1B7E"/>
    <w:rsid w:val="00FD1F32"/>
    <w:rsid w:val="00FD1FA0"/>
    <w:rsid w:val="00FD21EB"/>
    <w:rsid w:val="00FD244B"/>
    <w:rsid w:val="00FD37AA"/>
    <w:rsid w:val="00FD38D5"/>
    <w:rsid w:val="00FD3ED8"/>
    <w:rsid w:val="00FD4E1D"/>
    <w:rsid w:val="00FD4F80"/>
    <w:rsid w:val="00FD567B"/>
    <w:rsid w:val="00FD5735"/>
    <w:rsid w:val="00FD5807"/>
    <w:rsid w:val="00FD5A57"/>
    <w:rsid w:val="00FD6325"/>
    <w:rsid w:val="00FD6648"/>
    <w:rsid w:val="00FD74CB"/>
    <w:rsid w:val="00FD78E9"/>
    <w:rsid w:val="00FD795B"/>
    <w:rsid w:val="00FD7A7F"/>
    <w:rsid w:val="00FE03D1"/>
    <w:rsid w:val="00FE0F4F"/>
    <w:rsid w:val="00FE165D"/>
    <w:rsid w:val="00FE16A4"/>
    <w:rsid w:val="00FE2703"/>
    <w:rsid w:val="00FE2CB8"/>
    <w:rsid w:val="00FE555D"/>
    <w:rsid w:val="00FE5CB7"/>
    <w:rsid w:val="00FE5D49"/>
    <w:rsid w:val="00FE7EE5"/>
    <w:rsid w:val="00FF0B0F"/>
    <w:rsid w:val="00FF150D"/>
    <w:rsid w:val="00FF161A"/>
    <w:rsid w:val="00FF17DB"/>
    <w:rsid w:val="00FF1B87"/>
    <w:rsid w:val="00FF1E88"/>
    <w:rsid w:val="00FF2FC7"/>
    <w:rsid w:val="00FF361C"/>
    <w:rsid w:val="00FF44FE"/>
    <w:rsid w:val="00FF4815"/>
    <w:rsid w:val="00FF4F64"/>
    <w:rsid w:val="00FF630C"/>
    <w:rsid w:val="00FF6F72"/>
    <w:rsid w:val="00FF7174"/>
    <w:rsid w:val="00FF7331"/>
    <w:rsid w:val="01267939"/>
    <w:rsid w:val="012A0428"/>
    <w:rsid w:val="01473033"/>
    <w:rsid w:val="01542CB4"/>
    <w:rsid w:val="015F37E2"/>
    <w:rsid w:val="01613BB0"/>
    <w:rsid w:val="017271E3"/>
    <w:rsid w:val="017D655B"/>
    <w:rsid w:val="019D5E75"/>
    <w:rsid w:val="01B55195"/>
    <w:rsid w:val="01B5780C"/>
    <w:rsid w:val="01BB225A"/>
    <w:rsid w:val="01CC1E82"/>
    <w:rsid w:val="01CC6937"/>
    <w:rsid w:val="01CF39B0"/>
    <w:rsid w:val="01D73534"/>
    <w:rsid w:val="01FD3B99"/>
    <w:rsid w:val="02021BF7"/>
    <w:rsid w:val="02045087"/>
    <w:rsid w:val="021B53D6"/>
    <w:rsid w:val="021C3821"/>
    <w:rsid w:val="02267CBA"/>
    <w:rsid w:val="022C48C5"/>
    <w:rsid w:val="023870D5"/>
    <w:rsid w:val="023B4974"/>
    <w:rsid w:val="023B72F4"/>
    <w:rsid w:val="024832EA"/>
    <w:rsid w:val="02575201"/>
    <w:rsid w:val="026B5CE0"/>
    <w:rsid w:val="026E0D49"/>
    <w:rsid w:val="02767AC6"/>
    <w:rsid w:val="02867166"/>
    <w:rsid w:val="02873E00"/>
    <w:rsid w:val="02C677D7"/>
    <w:rsid w:val="02CF2A11"/>
    <w:rsid w:val="02E625CF"/>
    <w:rsid w:val="02F308CD"/>
    <w:rsid w:val="02F71DAD"/>
    <w:rsid w:val="03262A0F"/>
    <w:rsid w:val="03290562"/>
    <w:rsid w:val="03400032"/>
    <w:rsid w:val="035E0D7F"/>
    <w:rsid w:val="03684B56"/>
    <w:rsid w:val="03770E5C"/>
    <w:rsid w:val="038A4B16"/>
    <w:rsid w:val="038D066D"/>
    <w:rsid w:val="03961F49"/>
    <w:rsid w:val="039734B0"/>
    <w:rsid w:val="03A97069"/>
    <w:rsid w:val="03AF75AE"/>
    <w:rsid w:val="03C5242F"/>
    <w:rsid w:val="03D6145B"/>
    <w:rsid w:val="03D64DF8"/>
    <w:rsid w:val="03E37A20"/>
    <w:rsid w:val="03E554AD"/>
    <w:rsid w:val="03E72135"/>
    <w:rsid w:val="03E83FE1"/>
    <w:rsid w:val="03F81DE1"/>
    <w:rsid w:val="040F2AD3"/>
    <w:rsid w:val="04165C00"/>
    <w:rsid w:val="04260FA4"/>
    <w:rsid w:val="04327405"/>
    <w:rsid w:val="047576F9"/>
    <w:rsid w:val="04A86794"/>
    <w:rsid w:val="04BA38D0"/>
    <w:rsid w:val="04C02271"/>
    <w:rsid w:val="04D51533"/>
    <w:rsid w:val="04DC2DEB"/>
    <w:rsid w:val="04FB7079"/>
    <w:rsid w:val="04FE63B4"/>
    <w:rsid w:val="05020070"/>
    <w:rsid w:val="051C64AE"/>
    <w:rsid w:val="052506A0"/>
    <w:rsid w:val="05296BBD"/>
    <w:rsid w:val="052C0664"/>
    <w:rsid w:val="05347BDC"/>
    <w:rsid w:val="0556642D"/>
    <w:rsid w:val="05592923"/>
    <w:rsid w:val="05653341"/>
    <w:rsid w:val="057F3CAC"/>
    <w:rsid w:val="059C7EDF"/>
    <w:rsid w:val="05A53581"/>
    <w:rsid w:val="05B300D5"/>
    <w:rsid w:val="05B86351"/>
    <w:rsid w:val="05C52021"/>
    <w:rsid w:val="05C56774"/>
    <w:rsid w:val="05CC1620"/>
    <w:rsid w:val="05CE2DB5"/>
    <w:rsid w:val="05DA1E61"/>
    <w:rsid w:val="05ED0AD2"/>
    <w:rsid w:val="05FB2BE0"/>
    <w:rsid w:val="06066B62"/>
    <w:rsid w:val="060D4746"/>
    <w:rsid w:val="06175268"/>
    <w:rsid w:val="06294144"/>
    <w:rsid w:val="06467435"/>
    <w:rsid w:val="066530A4"/>
    <w:rsid w:val="068746E4"/>
    <w:rsid w:val="068A01B2"/>
    <w:rsid w:val="0697579E"/>
    <w:rsid w:val="0699434F"/>
    <w:rsid w:val="069A2F2B"/>
    <w:rsid w:val="06A44C00"/>
    <w:rsid w:val="06AC317E"/>
    <w:rsid w:val="06C8486F"/>
    <w:rsid w:val="06C87C48"/>
    <w:rsid w:val="06D306A8"/>
    <w:rsid w:val="06DB30A2"/>
    <w:rsid w:val="06E8167E"/>
    <w:rsid w:val="06F4641F"/>
    <w:rsid w:val="070677A2"/>
    <w:rsid w:val="070907C4"/>
    <w:rsid w:val="07323CE9"/>
    <w:rsid w:val="07440D58"/>
    <w:rsid w:val="074D50B5"/>
    <w:rsid w:val="076753F0"/>
    <w:rsid w:val="076919E2"/>
    <w:rsid w:val="078A23A2"/>
    <w:rsid w:val="07CC7300"/>
    <w:rsid w:val="07ED617B"/>
    <w:rsid w:val="07F033CC"/>
    <w:rsid w:val="08033D3D"/>
    <w:rsid w:val="08035E58"/>
    <w:rsid w:val="0806075C"/>
    <w:rsid w:val="083A2189"/>
    <w:rsid w:val="083E585C"/>
    <w:rsid w:val="084B6F14"/>
    <w:rsid w:val="086808B5"/>
    <w:rsid w:val="086E4C67"/>
    <w:rsid w:val="089111BB"/>
    <w:rsid w:val="08B7267C"/>
    <w:rsid w:val="08D11D5D"/>
    <w:rsid w:val="08E8166C"/>
    <w:rsid w:val="08EA073F"/>
    <w:rsid w:val="08F24B9B"/>
    <w:rsid w:val="08FA2123"/>
    <w:rsid w:val="08FC68E3"/>
    <w:rsid w:val="0907399F"/>
    <w:rsid w:val="09257F41"/>
    <w:rsid w:val="09482E1B"/>
    <w:rsid w:val="09527FE8"/>
    <w:rsid w:val="095B044F"/>
    <w:rsid w:val="09622C8A"/>
    <w:rsid w:val="096D1413"/>
    <w:rsid w:val="09806436"/>
    <w:rsid w:val="09814089"/>
    <w:rsid w:val="09843DCE"/>
    <w:rsid w:val="09B66406"/>
    <w:rsid w:val="09DF68EE"/>
    <w:rsid w:val="09EE52B7"/>
    <w:rsid w:val="09F35E59"/>
    <w:rsid w:val="0A006784"/>
    <w:rsid w:val="0A2C061A"/>
    <w:rsid w:val="0A3961A1"/>
    <w:rsid w:val="0A3E5902"/>
    <w:rsid w:val="0A410C1B"/>
    <w:rsid w:val="0A6D49B6"/>
    <w:rsid w:val="0A722F3B"/>
    <w:rsid w:val="0A8A4E5D"/>
    <w:rsid w:val="0A981C6A"/>
    <w:rsid w:val="0AAD7C0B"/>
    <w:rsid w:val="0AB93502"/>
    <w:rsid w:val="0ACF0AA7"/>
    <w:rsid w:val="0B157317"/>
    <w:rsid w:val="0B3426F5"/>
    <w:rsid w:val="0B4F0EFE"/>
    <w:rsid w:val="0B5343EC"/>
    <w:rsid w:val="0B7C44A4"/>
    <w:rsid w:val="0BA16DA5"/>
    <w:rsid w:val="0BA6782F"/>
    <w:rsid w:val="0BAF0444"/>
    <w:rsid w:val="0BC83682"/>
    <w:rsid w:val="0BD573DB"/>
    <w:rsid w:val="0BD649F2"/>
    <w:rsid w:val="0BD713E6"/>
    <w:rsid w:val="0BFA262F"/>
    <w:rsid w:val="0BFF19F9"/>
    <w:rsid w:val="0C091F25"/>
    <w:rsid w:val="0C6D337A"/>
    <w:rsid w:val="0C882028"/>
    <w:rsid w:val="0C8F2DFB"/>
    <w:rsid w:val="0C967062"/>
    <w:rsid w:val="0CA23B45"/>
    <w:rsid w:val="0CAB4F37"/>
    <w:rsid w:val="0CBD4DA7"/>
    <w:rsid w:val="0CCF5366"/>
    <w:rsid w:val="0CE02843"/>
    <w:rsid w:val="0CE62C22"/>
    <w:rsid w:val="0CEA7EE8"/>
    <w:rsid w:val="0D063FB9"/>
    <w:rsid w:val="0D1566A3"/>
    <w:rsid w:val="0D375377"/>
    <w:rsid w:val="0D3D59B2"/>
    <w:rsid w:val="0D553559"/>
    <w:rsid w:val="0D63033E"/>
    <w:rsid w:val="0D77588E"/>
    <w:rsid w:val="0D7969D9"/>
    <w:rsid w:val="0DA03BE0"/>
    <w:rsid w:val="0DAD4FF4"/>
    <w:rsid w:val="0DB40E0B"/>
    <w:rsid w:val="0DBF4B4E"/>
    <w:rsid w:val="0DCA2EB3"/>
    <w:rsid w:val="0DD22801"/>
    <w:rsid w:val="0DD728AB"/>
    <w:rsid w:val="0DEA53B6"/>
    <w:rsid w:val="0DF676E8"/>
    <w:rsid w:val="0DFA4C82"/>
    <w:rsid w:val="0E682DC3"/>
    <w:rsid w:val="0E7D2371"/>
    <w:rsid w:val="0EA84160"/>
    <w:rsid w:val="0EEF0225"/>
    <w:rsid w:val="0F0230FD"/>
    <w:rsid w:val="0F0D76F7"/>
    <w:rsid w:val="0F170FDE"/>
    <w:rsid w:val="0F1E709E"/>
    <w:rsid w:val="0F4102F5"/>
    <w:rsid w:val="0F4256CC"/>
    <w:rsid w:val="0F6F1A56"/>
    <w:rsid w:val="0F922CFE"/>
    <w:rsid w:val="0F983EFE"/>
    <w:rsid w:val="0FC0476F"/>
    <w:rsid w:val="0FFA61C7"/>
    <w:rsid w:val="100D65FA"/>
    <w:rsid w:val="10123E52"/>
    <w:rsid w:val="102907C6"/>
    <w:rsid w:val="103F5615"/>
    <w:rsid w:val="10522E7B"/>
    <w:rsid w:val="105C401E"/>
    <w:rsid w:val="105D7204"/>
    <w:rsid w:val="10706FA9"/>
    <w:rsid w:val="107E1541"/>
    <w:rsid w:val="108A2806"/>
    <w:rsid w:val="108B22CB"/>
    <w:rsid w:val="10AC53B3"/>
    <w:rsid w:val="10B15802"/>
    <w:rsid w:val="10C06AD6"/>
    <w:rsid w:val="10C61E39"/>
    <w:rsid w:val="10CD5320"/>
    <w:rsid w:val="10EF0D08"/>
    <w:rsid w:val="10FA41B6"/>
    <w:rsid w:val="10FE597C"/>
    <w:rsid w:val="11190DB3"/>
    <w:rsid w:val="11201E09"/>
    <w:rsid w:val="11333046"/>
    <w:rsid w:val="11422392"/>
    <w:rsid w:val="114840B4"/>
    <w:rsid w:val="119C1B3B"/>
    <w:rsid w:val="11C53DAD"/>
    <w:rsid w:val="11DA13B3"/>
    <w:rsid w:val="11E7098B"/>
    <w:rsid w:val="1208280A"/>
    <w:rsid w:val="121F0804"/>
    <w:rsid w:val="122D7242"/>
    <w:rsid w:val="123541E8"/>
    <w:rsid w:val="123F5A33"/>
    <w:rsid w:val="124043B9"/>
    <w:rsid w:val="12515B9D"/>
    <w:rsid w:val="12692526"/>
    <w:rsid w:val="12821379"/>
    <w:rsid w:val="129E5232"/>
    <w:rsid w:val="12DA331C"/>
    <w:rsid w:val="12E0633D"/>
    <w:rsid w:val="12F04040"/>
    <w:rsid w:val="12FC178F"/>
    <w:rsid w:val="13074BAC"/>
    <w:rsid w:val="13120C2F"/>
    <w:rsid w:val="13163E8D"/>
    <w:rsid w:val="13182B46"/>
    <w:rsid w:val="131C131B"/>
    <w:rsid w:val="13267C27"/>
    <w:rsid w:val="132C5EB2"/>
    <w:rsid w:val="133A4276"/>
    <w:rsid w:val="133B4CE3"/>
    <w:rsid w:val="133B592A"/>
    <w:rsid w:val="136B7134"/>
    <w:rsid w:val="137C2A81"/>
    <w:rsid w:val="1387115F"/>
    <w:rsid w:val="139757F6"/>
    <w:rsid w:val="139B0635"/>
    <w:rsid w:val="13B151EE"/>
    <w:rsid w:val="13C70B0D"/>
    <w:rsid w:val="13D14A3F"/>
    <w:rsid w:val="13D536D3"/>
    <w:rsid w:val="13D77C2C"/>
    <w:rsid w:val="13D85147"/>
    <w:rsid w:val="13FC600B"/>
    <w:rsid w:val="14162984"/>
    <w:rsid w:val="141939F2"/>
    <w:rsid w:val="1432690B"/>
    <w:rsid w:val="143B7A1E"/>
    <w:rsid w:val="146B51FA"/>
    <w:rsid w:val="14AB054D"/>
    <w:rsid w:val="14B43C4B"/>
    <w:rsid w:val="14C71317"/>
    <w:rsid w:val="14D34907"/>
    <w:rsid w:val="14F02D0B"/>
    <w:rsid w:val="14F87539"/>
    <w:rsid w:val="151943B6"/>
    <w:rsid w:val="151C5BBC"/>
    <w:rsid w:val="152A5792"/>
    <w:rsid w:val="155671CC"/>
    <w:rsid w:val="15681C97"/>
    <w:rsid w:val="15AD23A9"/>
    <w:rsid w:val="15AD49EE"/>
    <w:rsid w:val="15B471C7"/>
    <w:rsid w:val="15CF4223"/>
    <w:rsid w:val="15F502E6"/>
    <w:rsid w:val="16164B2F"/>
    <w:rsid w:val="161B4325"/>
    <w:rsid w:val="1628374C"/>
    <w:rsid w:val="162E6B12"/>
    <w:rsid w:val="16300809"/>
    <w:rsid w:val="16474597"/>
    <w:rsid w:val="16535357"/>
    <w:rsid w:val="16B1108C"/>
    <w:rsid w:val="16CF3D0D"/>
    <w:rsid w:val="16D713BA"/>
    <w:rsid w:val="16E4093A"/>
    <w:rsid w:val="16FA364E"/>
    <w:rsid w:val="17020A5B"/>
    <w:rsid w:val="17172D26"/>
    <w:rsid w:val="171C10AC"/>
    <w:rsid w:val="17572CCA"/>
    <w:rsid w:val="177216A0"/>
    <w:rsid w:val="179C2385"/>
    <w:rsid w:val="17A713E3"/>
    <w:rsid w:val="17B36252"/>
    <w:rsid w:val="17E3549E"/>
    <w:rsid w:val="17EE1369"/>
    <w:rsid w:val="17F214E9"/>
    <w:rsid w:val="1811106B"/>
    <w:rsid w:val="18550717"/>
    <w:rsid w:val="185B79A1"/>
    <w:rsid w:val="185C64C2"/>
    <w:rsid w:val="186B4FB4"/>
    <w:rsid w:val="188C7812"/>
    <w:rsid w:val="188F1C1F"/>
    <w:rsid w:val="189C6FB9"/>
    <w:rsid w:val="189E5712"/>
    <w:rsid w:val="189F3605"/>
    <w:rsid w:val="18A27B25"/>
    <w:rsid w:val="18AE3642"/>
    <w:rsid w:val="18C6672A"/>
    <w:rsid w:val="18DA6F09"/>
    <w:rsid w:val="1901507F"/>
    <w:rsid w:val="19033F0E"/>
    <w:rsid w:val="19227B5D"/>
    <w:rsid w:val="195B0338"/>
    <w:rsid w:val="196041D2"/>
    <w:rsid w:val="197B0CB6"/>
    <w:rsid w:val="19894CC7"/>
    <w:rsid w:val="19A27DFF"/>
    <w:rsid w:val="19A85402"/>
    <w:rsid w:val="19C0394C"/>
    <w:rsid w:val="19F2743E"/>
    <w:rsid w:val="1A2C1F0A"/>
    <w:rsid w:val="1A377D7B"/>
    <w:rsid w:val="1A556E00"/>
    <w:rsid w:val="1A586986"/>
    <w:rsid w:val="1A715FBB"/>
    <w:rsid w:val="1A9143F5"/>
    <w:rsid w:val="1AA32845"/>
    <w:rsid w:val="1AB33CFE"/>
    <w:rsid w:val="1AC77277"/>
    <w:rsid w:val="1AD275E7"/>
    <w:rsid w:val="1AE6196C"/>
    <w:rsid w:val="1AE75886"/>
    <w:rsid w:val="1B014051"/>
    <w:rsid w:val="1B137DF1"/>
    <w:rsid w:val="1B1A1A1D"/>
    <w:rsid w:val="1B1C2DDF"/>
    <w:rsid w:val="1B1F77A4"/>
    <w:rsid w:val="1B6E7D9C"/>
    <w:rsid w:val="1B931AA9"/>
    <w:rsid w:val="1BAB5085"/>
    <w:rsid w:val="1BB25F5A"/>
    <w:rsid w:val="1BF720D8"/>
    <w:rsid w:val="1C006D6E"/>
    <w:rsid w:val="1C1E2893"/>
    <w:rsid w:val="1C5026A6"/>
    <w:rsid w:val="1C766479"/>
    <w:rsid w:val="1C861E88"/>
    <w:rsid w:val="1CA027CE"/>
    <w:rsid w:val="1CAD5B8E"/>
    <w:rsid w:val="1CB4053E"/>
    <w:rsid w:val="1CB42EC0"/>
    <w:rsid w:val="1CB44DD3"/>
    <w:rsid w:val="1CF12CA3"/>
    <w:rsid w:val="1D134D14"/>
    <w:rsid w:val="1D2B6AB1"/>
    <w:rsid w:val="1D2D3FF9"/>
    <w:rsid w:val="1DA87C66"/>
    <w:rsid w:val="1DB377DA"/>
    <w:rsid w:val="1DCE1063"/>
    <w:rsid w:val="1DD646AB"/>
    <w:rsid w:val="1DDE2F7C"/>
    <w:rsid w:val="1DE51744"/>
    <w:rsid w:val="1DE92777"/>
    <w:rsid w:val="1E114161"/>
    <w:rsid w:val="1E4015B3"/>
    <w:rsid w:val="1E6B5D70"/>
    <w:rsid w:val="1E991704"/>
    <w:rsid w:val="1EA172D5"/>
    <w:rsid w:val="1EC016D9"/>
    <w:rsid w:val="1EE216CC"/>
    <w:rsid w:val="1F1C6AC4"/>
    <w:rsid w:val="1F286B7A"/>
    <w:rsid w:val="1F42055F"/>
    <w:rsid w:val="1F492F7E"/>
    <w:rsid w:val="1F9440C5"/>
    <w:rsid w:val="1F950470"/>
    <w:rsid w:val="1FAC546B"/>
    <w:rsid w:val="1FB62112"/>
    <w:rsid w:val="1FD45AE6"/>
    <w:rsid w:val="1FEE5546"/>
    <w:rsid w:val="1FEF0C4A"/>
    <w:rsid w:val="201A6604"/>
    <w:rsid w:val="20305E38"/>
    <w:rsid w:val="2040553A"/>
    <w:rsid w:val="20425BD6"/>
    <w:rsid w:val="205E01F7"/>
    <w:rsid w:val="20680D56"/>
    <w:rsid w:val="209F0E95"/>
    <w:rsid w:val="20A0750A"/>
    <w:rsid w:val="20A26B1D"/>
    <w:rsid w:val="20A42456"/>
    <w:rsid w:val="211307B5"/>
    <w:rsid w:val="21271003"/>
    <w:rsid w:val="21484E35"/>
    <w:rsid w:val="21511C8F"/>
    <w:rsid w:val="218D49F6"/>
    <w:rsid w:val="21945B53"/>
    <w:rsid w:val="219A1345"/>
    <w:rsid w:val="21A25B59"/>
    <w:rsid w:val="21A41D2E"/>
    <w:rsid w:val="21AC11BD"/>
    <w:rsid w:val="21BC180D"/>
    <w:rsid w:val="21CF46D0"/>
    <w:rsid w:val="220B590E"/>
    <w:rsid w:val="221574FB"/>
    <w:rsid w:val="222D6B23"/>
    <w:rsid w:val="222E37E0"/>
    <w:rsid w:val="22323917"/>
    <w:rsid w:val="226713D0"/>
    <w:rsid w:val="22680446"/>
    <w:rsid w:val="226E2E73"/>
    <w:rsid w:val="2271055E"/>
    <w:rsid w:val="22974B17"/>
    <w:rsid w:val="22976A8B"/>
    <w:rsid w:val="22997BC0"/>
    <w:rsid w:val="22AE6BF9"/>
    <w:rsid w:val="22C83A52"/>
    <w:rsid w:val="22D1339B"/>
    <w:rsid w:val="22D528BC"/>
    <w:rsid w:val="22F409D8"/>
    <w:rsid w:val="230323B1"/>
    <w:rsid w:val="231A7AE1"/>
    <w:rsid w:val="23242413"/>
    <w:rsid w:val="232C46C8"/>
    <w:rsid w:val="233B55A0"/>
    <w:rsid w:val="233E7D40"/>
    <w:rsid w:val="234117A4"/>
    <w:rsid w:val="236965FE"/>
    <w:rsid w:val="23813888"/>
    <w:rsid w:val="23832E39"/>
    <w:rsid w:val="23B819CC"/>
    <w:rsid w:val="23C67EEE"/>
    <w:rsid w:val="23CA3F0D"/>
    <w:rsid w:val="23D4516D"/>
    <w:rsid w:val="23F40B73"/>
    <w:rsid w:val="24086404"/>
    <w:rsid w:val="240B2428"/>
    <w:rsid w:val="240B531F"/>
    <w:rsid w:val="242A3710"/>
    <w:rsid w:val="244021E2"/>
    <w:rsid w:val="2469170F"/>
    <w:rsid w:val="24695E60"/>
    <w:rsid w:val="247E2CCD"/>
    <w:rsid w:val="2484383A"/>
    <w:rsid w:val="24856DE2"/>
    <w:rsid w:val="24894B0D"/>
    <w:rsid w:val="248B7CD0"/>
    <w:rsid w:val="24B13487"/>
    <w:rsid w:val="24C37027"/>
    <w:rsid w:val="24D83290"/>
    <w:rsid w:val="25166533"/>
    <w:rsid w:val="253708AE"/>
    <w:rsid w:val="25552621"/>
    <w:rsid w:val="255F0859"/>
    <w:rsid w:val="25755892"/>
    <w:rsid w:val="2587749A"/>
    <w:rsid w:val="258C0F0B"/>
    <w:rsid w:val="259909F8"/>
    <w:rsid w:val="25AE5E8B"/>
    <w:rsid w:val="25D51ED0"/>
    <w:rsid w:val="25DB1DA1"/>
    <w:rsid w:val="25F937C3"/>
    <w:rsid w:val="260824C2"/>
    <w:rsid w:val="26124F08"/>
    <w:rsid w:val="26191BA9"/>
    <w:rsid w:val="261A10D7"/>
    <w:rsid w:val="261D76EB"/>
    <w:rsid w:val="262730E4"/>
    <w:rsid w:val="26470FD7"/>
    <w:rsid w:val="26BC0B9F"/>
    <w:rsid w:val="26F318C9"/>
    <w:rsid w:val="2700470D"/>
    <w:rsid w:val="27047C1E"/>
    <w:rsid w:val="270A0E8E"/>
    <w:rsid w:val="270B0F86"/>
    <w:rsid w:val="270B41E8"/>
    <w:rsid w:val="27115C8F"/>
    <w:rsid w:val="27171512"/>
    <w:rsid w:val="27590306"/>
    <w:rsid w:val="275F71C5"/>
    <w:rsid w:val="2764289F"/>
    <w:rsid w:val="277E2915"/>
    <w:rsid w:val="27AF7481"/>
    <w:rsid w:val="27B33E4C"/>
    <w:rsid w:val="27CC2628"/>
    <w:rsid w:val="27D365B4"/>
    <w:rsid w:val="27D65084"/>
    <w:rsid w:val="27DE2AE6"/>
    <w:rsid w:val="280A2AAA"/>
    <w:rsid w:val="28165A68"/>
    <w:rsid w:val="281D1FF7"/>
    <w:rsid w:val="28280E16"/>
    <w:rsid w:val="28363D32"/>
    <w:rsid w:val="283F37FB"/>
    <w:rsid w:val="2848753A"/>
    <w:rsid w:val="284E74FE"/>
    <w:rsid w:val="286B03F0"/>
    <w:rsid w:val="28D571BA"/>
    <w:rsid w:val="28EA2628"/>
    <w:rsid w:val="28EF7C3E"/>
    <w:rsid w:val="28F460B0"/>
    <w:rsid w:val="28FE7BBC"/>
    <w:rsid w:val="29356C29"/>
    <w:rsid w:val="294F692F"/>
    <w:rsid w:val="29551104"/>
    <w:rsid w:val="296956A8"/>
    <w:rsid w:val="296C0D57"/>
    <w:rsid w:val="297E607D"/>
    <w:rsid w:val="2992390E"/>
    <w:rsid w:val="29943936"/>
    <w:rsid w:val="29AC48C8"/>
    <w:rsid w:val="29BC04A9"/>
    <w:rsid w:val="29DD77D7"/>
    <w:rsid w:val="29F77964"/>
    <w:rsid w:val="29F967E9"/>
    <w:rsid w:val="29FF658A"/>
    <w:rsid w:val="2A0C4240"/>
    <w:rsid w:val="2A125B81"/>
    <w:rsid w:val="2A264B52"/>
    <w:rsid w:val="2A8D5961"/>
    <w:rsid w:val="2AB624C2"/>
    <w:rsid w:val="2ABD279E"/>
    <w:rsid w:val="2AD74FC2"/>
    <w:rsid w:val="2AEE60F5"/>
    <w:rsid w:val="2B170969"/>
    <w:rsid w:val="2B184E1E"/>
    <w:rsid w:val="2B425269"/>
    <w:rsid w:val="2B4F7294"/>
    <w:rsid w:val="2B662F7A"/>
    <w:rsid w:val="2B6D0D3D"/>
    <w:rsid w:val="2B7E165F"/>
    <w:rsid w:val="2B8C01B5"/>
    <w:rsid w:val="2B9D2FC7"/>
    <w:rsid w:val="2BC93DEF"/>
    <w:rsid w:val="2BF27BE7"/>
    <w:rsid w:val="2BFF5CB5"/>
    <w:rsid w:val="2C05415E"/>
    <w:rsid w:val="2C2E75FD"/>
    <w:rsid w:val="2C4942C0"/>
    <w:rsid w:val="2C623C94"/>
    <w:rsid w:val="2C6B4243"/>
    <w:rsid w:val="2C6E5917"/>
    <w:rsid w:val="2C7A0BAD"/>
    <w:rsid w:val="2C845ED5"/>
    <w:rsid w:val="2C8749AD"/>
    <w:rsid w:val="2CA5334B"/>
    <w:rsid w:val="2CB1702C"/>
    <w:rsid w:val="2CBA0563"/>
    <w:rsid w:val="2CBC7C6F"/>
    <w:rsid w:val="2CC37A89"/>
    <w:rsid w:val="2CEA0D7F"/>
    <w:rsid w:val="2CFB32BC"/>
    <w:rsid w:val="2D121AC3"/>
    <w:rsid w:val="2D185944"/>
    <w:rsid w:val="2D336614"/>
    <w:rsid w:val="2D412070"/>
    <w:rsid w:val="2DBF6932"/>
    <w:rsid w:val="2DF26970"/>
    <w:rsid w:val="2DF65AB1"/>
    <w:rsid w:val="2E017114"/>
    <w:rsid w:val="2E4505F3"/>
    <w:rsid w:val="2E525413"/>
    <w:rsid w:val="2E527887"/>
    <w:rsid w:val="2E7A09F7"/>
    <w:rsid w:val="2E8C3DF2"/>
    <w:rsid w:val="2ED63D3B"/>
    <w:rsid w:val="2EDB705D"/>
    <w:rsid w:val="2EFF5F50"/>
    <w:rsid w:val="2F0307FB"/>
    <w:rsid w:val="2F0D3CAA"/>
    <w:rsid w:val="2F191094"/>
    <w:rsid w:val="2F327837"/>
    <w:rsid w:val="2F785EB8"/>
    <w:rsid w:val="2F8A7BFA"/>
    <w:rsid w:val="2F9E1564"/>
    <w:rsid w:val="2FAA02A4"/>
    <w:rsid w:val="2FAE1489"/>
    <w:rsid w:val="2FB07391"/>
    <w:rsid w:val="2FB742BA"/>
    <w:rsid w:val="2FBA7F99"/>
    <w:rsid w:val="2FD7142C"/>
    <w:rsid w:val="2FEB6533"/>
    <w:rsid w:val="2FEE5E39"/>
    <w:rsid w:val="2FF448A7"/>
    <w:rsid w:val="2FF70B03"/>
    <w:rsid w:val="2FF84322"/>
    <w:rsid w:val="30216DD4"/>
    <w:rsid w:val="305D234C"/>
    <w:rsid w:val="305E47AA"/>
    <w:rsid w:val="306C5F43"/>
    <w:rsid w:val="309766C8"/>
    <w:rsid w:val="30BE069A"/>
    <w:rsid w:val="30C12986"/>
    <w:rsid w:val="30D55DD9"/>
    <w:rsid w:val="30D60645"/>
    <w:rsid w:val="30E20088"/>
    <w:rsid w:val="312403EC"/>
    <w:rsid w:val="3133790F"/>
    <w:rsid w:val="314174A5"/>
    <w:rsid w:val="315355C7"/>
    <w:rsid w:val="315C49FD"/>
    <w:rsid w:val="315D3AE4"/>
    <w:rsid w:val="3168340D"/>
    <w:rsid w:val="318F673B"/>
    <w:rsid w:val="31963E2C"/>
    <w:rsid w:val="31964ABE"/>
    <w:rsid w:val="319720A1"/>
    <w:rsid w:val="31CF0557"/>
    <w:rsid w:val="31D23824"/>
    <w:rsid w:val="31E409E3"/>
    <w:rsid w:val="31E821B0"/>
    <w:rsid w:val="31F6028F"/>
    <w:rsid w:val="31FE0F3C"/>
    <w:rsid w:val="320D53C7"/>
    <w:rsid w:val="321E7017"/>
    <w:rsid w:val="32335040"/>
    <w:rsid w:val="327D44AA"/>
    <w:rsid w:val="32807B59"/>
    <w:rsid w:val="32954FE9"/>
    <w:rsid w:val="329E1956"/>
    <w:rsid w:val="32BC7A0D"/>
    <w:rsid w:val="32C31E6C"/>
    <w:rsid w:val="32CC716A"/>
    <w:rsid w:val="32E573E3"/>
    <w:rsid w:val="32F35E2D"/>
    <w:rsid w:val="3301643B"/>
    <w:rsid w:val="332B21BB"/>
    <w:rsid w:val="332E3D80"/>
    <w:rsid w:val="334471F7"/>
    <w:rsid w:val="335625D9"/>
    <w:rsid w:val="336068B2"/>
    <w:rsid w:val="33AA466B"/>
    <w:rsid w:val="33BE6B29"/>
    <w:rsid w:val="33CB3825"/>
    <w:rsid w:val="33D13819"/>
    <w:rsid w:val="3406055B"/>
    <w:rsid w:val="340909FF"/>
    <w:rsid w:val="3413609D"/>
    <w:rsid w:val="341451E4"/>
    <w:rsid w:val="34192CA5"/>
    <w:rsid w:val="344500CC"/>
    <w:rsid w:val="344C01F9"/>
    <w:rsid w:val="34564CED"/>
    <w:rsid w:val="34750ED3"/>
    <w:rsid w:val="3476784F"/>
    <w:rsid w:val="34771547"/>
    <w:rsid w:val="34820EFD"/>
    <w:rsid w:val="34905C32"/>
    <w:rsid w:val="34A85639"/>
    <w:rsid w:val="34D83C7B"/>
    <w:rsid w:val="34D90197"/>
    <w:rsid w:val="35050391"/>
    <w:rsid w:val="350859DE"/>
    <w:rsid w:val="35204297"/>
    <w:rsid w:val="35675B79"/>
    <w:rsid w:val="357C6CFE"/>
    <w:rsid w:val="35C7310D"/>
    <w:rsid w:val="35CC27CB"/>
    <w:rsid w:val="35D1067E"/>
    <w:rsid w:val="35F77F01"/>
    <w:rsid w:val="3613695F"/>
    <w:rsid w:val="36294A82"/>
    <w:rsid w:val="36330ED8"/>
    <w:rsid w:val="36436A75"/>
    <w:rsid w:val="364C655D"/>
    <w:rsid w:val="36736AC5"/>
    <w:rsid w:val="367A7955"/>
    <w:rsid w:val="36AE41F5"/>
    <w:rsid w:val="36D8282D"/>
    <w:rsid w:val="36EC79A3"/>
    <w:rsid w:val="36FE2772"/>
    <w:rsid w:val="37174DB5"/>
    <w:rsid w:val="37237734"/>
    <w:rsid w:val="373A2D8C"/>
    <w:rsid w:val="374A0D57"/>
    <w:rsid w:val="374C7800"/>
    <w:rsid w:val="375A74AE"/>
    <w:rsid w:val="375C1D76"/>
    <w:rsid w:val="3765172A"/>
    <w:rsid w:val="379E35B8"/>
    <w:rsid w:val="37C10ACB"/>
    <w:rsid w:val="37D03331"/>
    <w:rsid w:val="37F426BA"/>
    <w:rsid w:val="37FE11ED"/>
    <w:rsid w:val="380A3B5B"/>
    <w:rsid w:val="38187ECC"/>
    <w:rsid w:val="384C13D2"/>
    <w:rsid w:val="385D2D6A"/>
    <w:rsid w:val="385E2B32"/>
    <w:rsid w:val="38644318"/>
    <w:rsid w:val="3882223D"/>
    <w:rsid w:val="38AA0253"/>
    <w:rsid w:val="38AA13E7"/>
    <w:rsid w:val="38B42C1A"/>
    <w:rsid w:val="390444AF"/>
    <w:rsid w:val="3908465F"/>
    <w:rsid w:val="392E45B7"/>
    <w:rsid w:val="3930485A"/>
    <w:rsid w:val="39443B1C"/>
    <w:rsid w:val="395A1104"/>
    <w:rsid w:val="396613AE"/>
    <w:rsid w:val="396A04B1"/>
    <w:rsid w:val="396A7136"/>
    <w:rsid w:val="39730B9C"/>
    <w:rsid w:val="39A10B4A"/>
    <w:rsid w:val="39A16D33"/>
    <w:rsid w:val="39AB7544"/>
    <w:rsid w:val="39AF6513"/>
    <w:rsid w:val="3A045627"/>
    <w:rsid w:val="3A167A19"/>
    <w:rsid w:val="3A1E5423"/>
    <w:rsid w:val="3A405FA0"/>
    <w:rsid w:val="3A702C3C"/>
    <w:rsid w:val="3A7611D1"/>
    <w:rsid w:val="3A9D3EA0"/>
    <w:rsid w:val="3AFE1D24"/>
    <w:rsid w:val="3B12529A"/>
    <w:rsid w:val="3B3D1B97"/>
    <w:rsid w:val="3B432818"/>
    <w:rsid w:val="3B4636CE"/>
    <w:rsid w:val="3B4A09F0"/>
    <w:rsid w:val="3B4B5AC1"/>
    <w:rsid w:val="3B4B7631"/>
    <w:rsid w:val="3B55727A"/>
    <w:rsid w:val="3B590E7A"/>
    <w:rsid w:val="3B5E1EFB"/>
    <w:rsid w:val="3B6B5880"/>
    <w:rsid w:val="3B6D4AD6"/>
    <w:rsid w:val="3B734051"/>
    <w:rsid w:val="3B737552"/>
    <w:rsid w:val="3B841D48"/>
    <w:rsid w:val="3B916F4D"/>
    <w:rsid w:val="3BD3519D"/>
    <w:rsid w:val="3BDB26AE"/>
    <w:rsid w:val="3BF12D37"/>
    <w:rsid w:val="3BF4123C"/>
    <w:rsid w:val="3BFB796A"/>
    <w:rsid w:val="3BFC085A"/>
    <w:rsid w:val="3C13528A"/>
    <w:rsid w:val="3C256117"/>
    <w:rsid w:val="3C467740"/>
    <w:rsid w:val="3C4867D6"/>
    <w:rsid w:val="3C7C5793"/>
    <w:rsid w:val="3C7D5D4F"/>
    <w:rsid w:val="3C8D366E"/>
    <w:rsid w:val="3C994941"/>
    <w:rsid w:val="3C9C571F"/>
    <w:rsid w:val="3CB63C40"/>
    <w:rsid w:val="3CC571DC"/>
    <w:rsid w:val="3CD37E8C"/>
    <w:rsid w:val="3CDE61D4"/>
    <w:rsid w:val="3CE850C4"/>
    <w:rsid w:val="3D037B56"/>
    <w:rsid w:val="3D266B68"/>
    <w:rsid w:val="3D414786"/>
    <w:rsid w:val="3D5A4B9C"/>
    <w:rsid w:val="3D624B69"/>
    <w:rsid w:val="3D6353AC"/>
    <w:rsid w:val="3DFE5B13"/>
    <w:rsid w:val="3E2B52D5"/>
    <w:rsid w:val="3E3004DA"/>
    <w:rsid w:val="3E3F7719"/>
    <w:rsid w:val="3E43555A"/>
    <w:rsid w:val="3E4633A7"/>
    <w:rsid w:val="3E530FD1"/>
    <w:rsid w:val="3E910224"/>
    <w:rsid w:val="3EBC432A"/>
    <w:rsid w:val="3EC138A0"/>
    <w:rsid w:val="3ED52CE8"/>
    <w:rsid w:val="3F081602"/>
    <w:rsid w:val="3F121114"/>
    <w:rsid w:val="3F1C5DA1"/>
    <w:rsid w:val="3F260912"/>
    <w:rsid w:val="3F432595"/>
    <w:rsid w:val="3F5A41F6"/>
    <w:rsid w:val="3F5D692C"/>
    <w:rsid w:val="3F5F49E5"/>
    <w:rsid w:val="3F8675AC"/>
    <w:rsid w:val="3FBF7D4E"/>
    <w:rsid w:val="3FCD7A3B"/>
    <w:rsid w:val="3FEC3B72"/>
    <w:rsid w:val="3FF878C8"/>
    <w:rsid w:val="3FFA5631"/>
    <w:rsid w:val="40313174"/>
    <w:rsid w:val="408C2F46"/>
    <w:rsid w:val="408D25C1"/>
    <w:rsid w:val="40A65FFD"/>
    <w:rsid w:val="40B56F98"/>
    <w:rsid w:val="40BB3642"/>
    <w:rsid w:val="40C86CEC"/>
    <w:rsid w:val="40D663C8"/>
    <w:rsid w:val="40DD5A1D"/>
    <w:rsid w:val="40F55B25"/>
    <w:rsid w:val="41303237"/>
    <w:rsid w:val="413A31A7"/>
    <w:rsid w:val="413F228C"/>
    <w:rsid w:val="416E00F3"/>
    <w:rsid w:val="41916537"/>
    <w:rsid w:val="41980B71"/>
    <w:rsid w:val="419F688E"/>
    <w:rsid w:val="419F784B"/>
    <w:rsid w:val="41CA206D"/>
    <w:rsid w:val="41DB7566"/>
    <w:rsid w:val="41E1229E"/>
    <w:rsid w:val="41F7184D"/>
    <w:rsid w:val="42164B47"/>
    <w:rsid w:val="42301070"/>
    <w:rsid w:val="423418CB"/>
    <w:rsid w:val="42706F31"/>
    <w:rsid w:val="429D0F06"/>
    <w:rsid w:val="42AD3D58"/>
    <w:rsid w:val="42AE4DEA"/>
    <w:rsid w:val="42BB5242"/>
    <w:rsid w:val="42C0722C"/>
    <w:rsid w:val="42C527B6"/>
    <w:rsid w:val="42CD739E"/>
    <w:rsid w:val="42CF4003"/>
    <w:rsid w:val="42DF27A5"/>
    <w:rsid w:val="430C5B7C"/>
    <w:rsid w:val="43425CEB"/>
    <w:rsid w:val="435711CA"/>
    <w:rsid w:val="435D6EA2"/>
    <w:rsid w:val="437962CE"/>
    <w:rsid w:val="43A06913"/>
    <w:rsid w:val="43A16A02"/>
    <w:rsid w:val="43BD7ABD"/>
    <w:rsid w:val="43DE6AB1"/>
    <w:rsid w:val="43FE4D82"/>
    <w:rsid w:val="44040055"/>
    <w:rsid w:val="4410756C"/>
    <w:rsid w:val="441D6FD2"/>
    <w:rsid w:val="442D32E4"/>
    <w:rsid w:val="446A2772"/>
    <w:rsid w:val="447D115D"/>
    <w:rsid w:val="44920D61"/>
    <w:rsid w:val="44997FE0"/>
    <w:rsid w:val="449C737D"/>
    <w:rsid w:val="449D7BF5"/>
    <w:rsid w:val="44A35AAE"/>
    <w:rsid w:val="44A54143"/>
    <w:rsid w:val="44C22AD2"/>
    <w:rsid w:val="44CD2656"/>
    <w:rsid w:val="44D24B3B"/>
    <w:rsid w:val="44E768E6"/>
    <w:rsid w:val="450D1187"/>
    <w:rsid w:val="45186988"/>
    <w:rsid w:val="45232A40"/>
    <w:rsid w:val="452A3EF1"/>
    <w:rsid w:val="452E3426"/>
    <w:rsid w:val="45383CDD"/>
    <w:rsid w:val="4554734F"/>
    <w:rsid w:val="455A060C"/>
    <w:rsid w:val="45684C31"/>
    <w:rsid w:val="45843108"/>
    <w:rsid w:val="4589085D"/>
    <w:rsid w:val="45BB3AED"/>
    <w:rsid w:val="45CC076C"/>
    <w:rsid w:val="45D145F1"/>
    <w:rsid w:val="45E5214B"/>
    <w:rsid w:val="45EE7FBF"/>
    <w:rsid w:val="45F83DB9"/>
    <w:rsid w:val="45FE4368"/>
    <w:rsid w:val="460C4137"/>
    <w:rsid w:val="46106656"/>
    <w:rsid w:val="46125773"/>
    <w:rsid w:val="461A3C61"/>
    <w:rsid w:val="462539F2"/>
    <w:rsid w:val="46263ECC"/>
    <w:rsid w:val="46492015"/>
    <w:rsid w:val="467E3C8B"/>
    <w:rsid w:val="46A65845"/>
    <w:rsid w:val="46C77926"/>
    <w:rsid w:val="46DB21B9"/>
    <w:rsid w:val="46E14EC3"/>
    <w:rsid w:val="4741207B"/>
    <w:rsid w:val="47413759"/>
    <w:rsid w:val="47417A7B"/>
    <w:rsid w:val="476F47BF"/>
    <w:rsid w:val="478A4115"/>
    <w:rsid w:val="47A42708"/>
    <w:rsid w:val="47A94BDE"/>
    <w:rsid w:val="47B23F9F"/>
    <w:rsid w:val="47CE2AB0"/>
    <w:rsid w:val="47ED4897"/>
    <w:rsid w:val="47F91495"/>
    <w:rsid w:val="481A6BC6"/>
    <w:rsid w:val="482B6B7D"/>
    <w:rsid w:val="482F39F1"/>
    <w:rsid w:val="4844110C"/>
    <w:rsid w:val="4846778A"/>
    <w:rsid w:val="48470C4D"/>
    <w:rsid w:val="484C7AB7"/>
    <w:rsid w:val="485909E1"/>
    <w:rsid w:val="486176A2"/>
    <w:rsid w:val="48686B60"/>
    <w:rsid w:val="486B6896"/>
    <w:rsid w:val="48735D47"/>
    <w:rsid w:val="489F4BB6"/>
    <w:rsid w:val="48A04659"/>
    <w:rsid w:val="48E551F5"/>
    <w:rsid w:val="492B63EF"/>
    <w:rsid w:val="493879E6"/>
    <w:rsid w:val="496011D7"/>
    <w:rsid w:val="49675208"/>
    <w:rsid w:val="497B1258"/>
    <w:rsid w:val="498863B1"/>
    <w:rsid w:val="49AC03FF"/>
    <w:rsid w:val="49CC7DFC"/>
    <w:rsid w:val="49D7611A"/>
    <w:rsid w:val="49DB789C"/>
    <w:rsid w:val="49DE1BC0"/>
    <w:rsid w:val="49F95419"/>
    <w:rsid w:val="4A0A3D35"/>
    <w:rsid w:val="4A0B387B"/>
    <w:rsid w:val="4A0F250F"/>
    <w:rsid w:val="4A267D49"/>
    <w:rsid w:val="4A5A3A5A"/>
    <w:rsid w:val="4A5E6EF3"/>
    <w:rsid w:val="4A6D54C2"/>
    <w:rsid w:val="4AA40D87"/>
    <w:rsid w:val="4AA470CC"/>
    <w:rsid w:val="4AB55628"/>
    <w:rsid w:val="4AEE4007"/>
    <w:rsid w:val="4AF26087"/>
    <w:rsid w:val="4B101EBF"/>
    <w:rsid w:val="4B2050EB"/>
    <w:rsid w:val="4B48177B"/>
    <w:rsid w:val="4B5E3597"/>
    <w:rsid w:val="4B6350B0"/>
    <w:rsid w:val="4B7108A1"/>
    <w:rsid w:val="4B8569B3"/>
    <w:rsid w:val="4B8C26FF"/>
    <w:rsid w:val="4B9D66CD"/>
    <w:rsid w:val="4BAD7702"/>
    <w:rsid w:val="4BB919D4"/>
    <w:rsid w:val="4BC50697"/>
    <w:rsid w:val="4BC94EFA"/>
    <w:rsid w:val="4BD76101"/>
    <w:rsid w:val="4BEA1CD7"/>
    <w:rsid w:val="4BEF14F1"/>
    <w:rsid w:val="4C0C156A"/>
    <w:rsid w:val="4C101D76"/>
    <w:rsid w:val="4C27610E"/>
    <w:rsid w:val="4C2D3457"/>
    <w:rsid w:val="4C430908"/>
    <w:rsid w:val="4C4400DE"/>
    <w:rsid w:val="4C702866"/>
    <w:rsid w:val="4CA2524A"/>
    <w:rsid w:val="4CA500D2"/>
    <w:rsid w:val="4CAA7C5B"/>
    <w:rsid w:val="4CB26809"/>
    <w:rsid w:val="4CDF1BF4"/>
    <w:rsid w:val="4CE12F9A"/>
    <w:rsid w:val="4CEB6CBB"/>
    <w:rsid w:val="4CFC4FE0"/>
    <w:rsid w:val="4D002A34"/>
    <w:rsid w:val="4D135D42"/>
    <w:rsid w:val="4D1D57CB"/>
    <w:rsid w:val="4D3E47A3"/>
    <w:rsid w:val="4D415E34"/>
    <w:rsid w:val="4D4946A0"/>
    <w:rsid w:val="4D556347"/>
    <w:rsid w:val="4D6C7F0C"/>
    <w:rsid w:val="4D9824F7"/>
    <w:rsid w:val="4D993332"/>
    <w:rsid w:val="4DA257CA"/>
    <w:rsid w:val="4DA934A3"/>
    <w:rsid w:val="4DC4363C"/>
    <w:rsid w:val="4DCF78FA"/>
    <w:rsid w:val="4DDA343D"/>
    <w:rsid w:val="4DDC5C58"/>
    <w:rsid w:val="4DDE0844"/>
    <w:rsid w:val="4E264166"/>
    <w:rsid w:val="4E2D6583"/>
    <w:rsid w:val="4E2F2A21"/>
    <w:rsid w:val="4E320449"/>
    <w:rsid w:val="4E3E41A4"/>
    <w:rsid w:val="4E400DC9"/>
    <w:rsid w:val="4E423DF4"/>
    <w:rsid w:val="4E495F93"/>
    <w:rsid w:val="4E520A55"/>
    <w:rsid w:val="4E56346D"/>
    <w:rsid w:val="4E5B676F"/>
    <w:rsid w:val="4E844AB3"/>
    <w:rsid w:val="4E8567CB"/>
    <w:rsid w:val="4EA46EFE"/>
    <w:rsid w:val="4EA85EEE"/>
    <w:rsid w:val="4ED35788"/>
    <w:rsid w:val="4ED503A0"/>
    <w:rsid w:val="4EEE7F51"/>
    <w:rsid w:val="4EF56E0F"/>
    <w:rsid w:val="4F507D4E"/>
    <w:rsid w:val="4F8922EB"/>
    <w:rsid w:val="4F934548"/>
    <w:rsid w:val="4FB15F01"/>
    <w:rsid w:val="4FD65BD2"/>
    <w:rsid w:val="4FE04BA5"/>
    <w:rsid w:val="500A440C"/>
    <w:rsid w:val="502411D5"/>
    <w:rsid w:val="504C03A3"/>
    <w:rsid w:val="504C7215"/>
    <w:rsid w:val="504D018B"/>
    <w:rsid w:val="507B62CC"/>
    <w:rsid w:val="50921B47"/>
    <w:rsid w:val="50957F73"/>
    <w:rsid w:val="509F6987"/>
    <w:rsid w:val="50AB652C"/>
    <w:rsid w:val="50D11502"/>
    <w:rsid w:val="50DE6C27"/>
    <w:rsid w:val="50E05D3D"/>
    <w:rsid w:val="50E2281D"/>
    <w:rsid w:val="50E32197"/>
    <w:rsid w:val="50EC7BD7"/>
    <w:rsid w:val="510829D9"/>
    <w:rsid w:val="51263269"/>
    <w:rsid w:val="513D7FB8"/>
    <w:rsid w:val="515404E3"/>
    <w:rsid w:val="51765142"/>
    <w:rsid w:val="518528EB"/>
    <w:rsid w:val="51854B7D"/>
    <w:rsid w:val="518E0EE8"/>
    <w:rsid w:val="519B7F01"/>
    <w:rsid w:val="51A17951"/>
    <w:rsid w:val="51B260E4"/>
    <w:rsid w:val="51CE33C8"/>
    <w:rsid w:val="51D1329D"/>
    <w:rsid w:val="51E55D80"/>
    <w:rsid w:val="52024AE7"/>
    <w:rsid w:val="523A07B6"/>
    <w:rsid w:val="52657012"/>
    <w:rsid w:val="52661B64"/>
    <w:rsid w:val="527840AD"/>
    <w:rsid w:val="528B6A97"/>
    <w:rsid w:val="52907463"/>
    <w:rsid w:val="52B351A4"/>
    <w:rsid w:val="52BD6C15"/>
    <w:rsid w:val="52DF6BDF"/>
    <w:rsid w:val="52F66320"/>
    <w:rsid w:val="53050171"/>
    <w:rsid w:val="530A0557"/>
    <w:rsid w:val="530B1CFD"/>
    <w:rsid w:val="53222FCF"/>
    <w:rsid w:val="53256AF1"/>
    <w:rsid w:val="5330352C"/>
    <w:rsid w:val="533742E4"/>
    <w:rsid w:val="534301CE"/>
    <w:rsid w:val="53536AE6"/>
    <w:rsid w:val="53537FA8"/>
    <w:rsid w:val="53550A76"/>
    <w:rsid w:val="538232E1"/>
    <w:rsid w:val="539C063A"/>
    <w:rsid w:val="53C06738"/>
    <w:rsid w:val="53E406C2"/>
    <w:rsid w:val="53F436EB"/>
    <w:rsid w:val="53F96924"/>
    <w:rsid w:val="5434635D"/>
    <w:rsid w:val="546625B4"/>
    <w:rsid w:val="54961B78"/>
    <w:rsid w:val="54AA4588"/>
    <w:rsid w:val="54C656AF"/>
    <w:rsid w:val="54C856A1"/>
    <w:rsid w:val="54E04C11"/>
    <w:rsid w:val="54EC61DC"/>
    <w:rsid w:val="54F867DF"/>
    <w:rsid w:val="54FA405C"/>
    <w:rsid w:val="55270BF9"/>
    <w:rsid w:val="55311F29"/>
    <w:rsid w:val="55340603"/>
    <w:rsid w:val="553D7E00"/>
    <w:rsid w:val="553E7F5D"/>
    <w:rsid w:val="554A0FB4"/>
    <w:rsid w:val="5551605C"/>
    <w:rsid w:val="55927416"/>
    <w:rsid w:val="55933D97"/>
    <w:rsid w:val="55937A20"/>
    <w:rsid w:val="5595135D"/>
    <w:rsid w:val="559B3ADB"/>
    <w:rsid w:val="55A9315D"/>
    <w:rsid w:val="55E75D6A"/>
    <w:rsid w:val="55F07BA4"/>
    <w:rsid w:val="560165C5"/>
    <w:rsid w:val="560F6C3C"/>
    <w:rsid w:val="56151C27"/>
    <w:rsid w:val="5637324D"/>
    <w:rsid w:val="56601A52"/>
    <w:rsid w:val="56685F63"/>
    <w:rsid w:val="5668694F"/>
    <w:rsid w:val="569245D8"/>
    <w:rsid w:val="56995C8A"/>
    <w:rsid w:val="56B25B97"/>
    <w:rsid w:val="56C818BF"/>
    <w:rsid w:val="56CF5E58"/>
    <w:rsid w:val="57154464"/>
    <w:rsid w:val="57211A09"/>
    <w:rsid w:val="572E6013"/>
    <w:rsid w:val="573B036F"/>
    <w:rsid w:val="574F4480"/>
    <w:rsid w:val="576B0511"/>
    <w:rsid w:val="577A0623"/>
    <w:rsid w:val="577E3886"/>
    <w:rsid w:val="578632C4"/>
    <w:rsid w:val="57BD60E7"/>
    <w:rsid w:val="57C51D46"/>
    <w:rsid w:val="57CF2522"/>
    <w:rsid w:val="5813149A"/>
    <w:rsid w:val="58373F08"/>
    <w:rsid w:val="58410AAA"/>
    <w:rsid w:val="5893077F"/>
    <w:rsid w:val="58A63ED8"/>
    <w:rsid w:val="58A800E8"/>
    <w:rsid w:val="58A814E1"/>
    <w:rsid w:val="58AB2BD1"/>
    <w:rsid w:val="58B06B92"/>
    <w:rsid w:val="58C06D96"/>
    <w:rsid w:val="58D732C1"/>
    <w:rsid w:val="591178B7"/>
    <w:rsid w:val="591C3B2E"/>
    <w:rsid w:val="59292D94"/>
    <w:rsid w:val="593E4DB5"/>
    <w:rsid w:val="59474286"/>
    <w:rsid w:val="59765F19"/>
    <w:rsid w:val="599103C5"/>
    <w:rsid w:val="599F3BA0"/>
    <w:rsid w:val="59A94D55"/>
    <w:rsid w:val="59B9276E"/>
    <w:rsid w:val="59C27073"/>
    <w:rsid w:val="59D05EFD"/>
    <w:rsid w:val="59D80856"/>
    <w:rsid w:val="59E55947"/>
    <w:rsid w:val="59EA1BD8"/>
    <w:rsid w:val="59F12B47"/>
    <w:rsid w:val="59F67047"/>
    <w:rsid w:val="5A026642"/>
    <w:rsid w:val="5A054A3E"/>
    <w:rsid w:val="5A0E3B19"/>
    <w:rsid w:val="5A130973"/>
    <w:rsid w:val="5A4620CF"/>
    <w:rsid w:val="5A5A1892"/>
    <w:rsid w:val="5A6E54E1"/>
    <w:rsid w:val="5AC07AE0"/>
    <w:rsid w:val="5AD666D2"/>
    <w:rsid w:val="5AE34985"/>
    <w:rsid w:val="5B025DBC"/>
    <w:rsid w:val="5B1F3B03"/>
    <w:rsid w:val="5B2111BB"/>
    <w:rsid w:val="5B2605B3"/>
    <w:rsid w:val="5B355F52"/>
    <w:rsid w:val="5B3D1338"/>
    <w:rsid w:val="5B422055"/>
    <w:rsid w:val="5B494C0A"/>
    <w:rsid w:val="5B4B1CAB"/>
    <w:rsid w:val="5B663F1F"/>
    <w:rsid w:val="5B7222D5"/>
    <w:rsid w:val="5BD2349F"/>
    <w:rsid w:val="5BD56CCA"/>
    <w:rsid w:val="5BFD1B51"/>
    <w:rsid w:val="5BFE32D4"/>
    <w:rsid w:val="5C2313D1"/>
    <w:rsid w:val="5C38258E"/>
    <w:rsid w:val="5C387A3F"/>
    <w:rsid w:val="5C545D46"/>
    <w:rsid w:val="5C546311"/>
    <w:rsid w:val="5C581788"/>
    <w:rsid w:val="5C5D48E3"/>
    <w:rsid w:val="5C900B3F"/>
    <w:rsid w:val="5CC317C4"/>
    <w:rsid w:val="5CF10F16"/>
    <w:rsid w:val="5CF15A58"/>
    <w:rsid w:val="5CF35B4E"/>
    <w:rsid w:val="5CFA0952"/>
    <w:rsid w:val="5D063B03"/>
    <w:rsid w:val="5D536484"/>
    <w:rsid w:val="5DBE6250"/>
    <w:rsid w:val="5DC735C5"/>
    <w:rsid w:val="5DDB01B6"/>
    <w:rsid w:val="5DE6128B"/>
    <w:rsid w:val="5DE94C95"/>
    <w:rsid w:val="5E18245D"/>
    <w:rsid w:val="5E2E776E"/>
    <w:rsid w:val="5E3A5431"/>
    <w:rsid w:val="5E465C6F"/>
    <w:rsid w:val="5E491112"/>
    <w:rsid w:val="5E511308"/>
    <w:rsid w:val="5E574C1E"/>
    <w:rsid w:val="5E582453"/>
    <w:rsid w:val="5E5B0422"/>
    <w:rsid w:val="5E5C0AC4"/>
    <w:rsid w:val="5E7C2733"/>
    <w:rsid w:val="5E87064A"/>
    <w:rsid w:val="5E901069"/>
    <w:rsid w:val="5EBB666F"/>
    <w:rsid w:val="5EFB00AB"/>
    <w:rsid w:val="5F075B8C"/>
    <w:rsid w:val="5F0C4EA5"/>
    <w:rsid w:val="5F291F33"/>
    <w:rsid w:val="5F2E2567"/>
    <w:rsid w:val="5F753048"/>
    <w:rsid w:val="5F842CAE"/>
    <w:rsid w:val="5F9E2E47"/>
    <w:rsid w:val="5FB919D1"/>
    <w:rsid w:val="5FBF739E"/>
    <w:rsid w:val="5FDB0553"/>
    <w:rsid w:val="5FE5356E"/>
    <w:rsid w:val="60231213"/>
    <w:rsid w:val="604A00A8"/>
    <w:rsid w:val="606E5B97"/>
    <w:rsid w:val="606F5ABB"/>
    <w:rsid w:val="60737D0E"/>
    <w:rsid w:val="607C092A"/>
    <w:rsid w:val="6093784C"/>
    <w:rsid w:val="609B6BB2"/>
    <w:rsid w:val="60B57B0D"/>
    <w:rsid w:val="60CF3912"/>
    <w:rsid w:val="60D34191"/>
    <w:rsid w:val="60DA4B09"/>
    <w:rsid w:val="60EA649E"/>
    <w:rsid w:val="610A23F9"/>
    <w:rsid w:val="61187BEE"/>
    <w:rsid w:val="617456AA"/>
    <w:rsid w:val="617F0EE3"/>
    <w:rsid w:val="61851C28"/>
    <w:rsid w:val="61896D22"/>
    <w:rsid w:val="61A17A60"/>
    <w:rsid w:val="61A82A57"/>
    <w:rsid w:val="61AA3CC0"/>
    <w:rsid w:val="61DB0477"/>
    <w:rsid w:val="62073EB5"/>
    <w:rsid w:val="62074892"/>
    <w:rsid w:val="620D24CD"/>
    <w:rsid w:val="62117D43"/>
    <w:rsid w:val="623510ED"/>
    <w:rsid w:val="62437DAA"/>
    <w:rsid w:val="62441120"/>
    <w:rsid w:val="62451026"/>
    <w:rsid w:val="62514181"/>
    <w:rsid w:val="6263735B"/>
    <w:rsid w:val="62752790"/>
    <w:rsid w:val="628E1418"/>
    <w:rsid w:val="62A4753B"/>
    <w:rsid w:val="62BA4980"/>
    <w:rsid w:val="62CC21F2"/>
    <w:rsid w:val="62D830D1"/>
    <w:rsid w:val="62DD5D47"/>
    <w:rsid w:val="62DF3A35"/>
    <w:rsid w:val="6338449B"/>
    <w:rsid w:val="63567DD5"/>
    <w:rsid w:val="6370314E"/>
    <w:rsid w:val="63857517"/>
    <w:rsid w:val="638A19FC"/>
    <w:rsid w:val="638E35AF"/>
    <w:rsid w:val="63CC7BB4"/>
    <w:rsid w:val="63DA4AE2"/>
    <w:rsid w:val="63E54505"/>
    <w:rsid w:val="63F70205"/>
    <w:rsid w:val="64041A5C"/>
    <w:rsid w:val="640753BB"/>
    <w:rsid w:val="642D54E3"/>
    <w:rsid w:val="642E28B5"/>
    <w:rsid w:val="64306918"/>
    <w:rsid w:val="643C583E"/>
    <w:rsid w:val="64475578"/>
    <w:rsid w:val="644F3129"/>
    <w:rsid w:val="64647AE5"/>
    <w:rsid w:val="64AA2690"/>
    <w:rsid w:val="64B974FD"/>
    <w:rsid w:val="64BA0D96"/>
    <w:rsid w:val="64C5348D"/>
    <w:rsid w:val="64DA67DA"/>
    <w:rsid w:val="64DD06A8"/>
    <w:rsid w:val="64F14763"/>
    <w:rsid w:val="64F5560D"/>
    <w:rsid w:val="64FA2562"/>
    <w:rsid w:val="654061E3"/>
    <w:rsid w:val="655871BF"/>
    <w:rsid w:val="656D6AE3"/>
    <w:rsid w:val="65784197"/>
    <w:rsid w:val="65BC27FC"/>
    <w:rsid w:val="65CF1DF5"/>
    <w:rsid w:val="65DD54FD"/>
    <w:rsid w:val="65F3519C"/>
    <w:rsid w:val="66093152"/>
    <w:rsid w:val="662F6525"/>
    <w:rsid w:val="66303A73"/>
    <w:rsid w:val="66666BDC"/>
    <w:rsid w:val="66765ABD"/>
    <w:rsid w:val="669A5EBB"/>
    <w:rsid w:val="66A57BE5"/>
    <w:rsid w:val="66A76B11"/>
    <w:rsid w:val="66B33F2D"/>
    <w:rsid w:val="66CA0DC7"/>
    <w:rsid w:val="66E7179D"/>
    <w:rsid w:val="66E96DF3"/>
    <w:rsid w:val="66F540E0"/>
    <w:rsid w:val="66F6577D"/>
    <w:rsid w:val="67000C50"/>
    <w:rsid w:val="67150428"/>
    <w:rsid w:val="672F2920"/>
    <w:rsid w:val="67460A32"/>
    <w:rsid w:val="674D7004"/>
    <w:rsid w:val="67713B94"/>
    <w:rsid w:val="677B01F8"/>
    <w:rsid w:val="67A7127E"/>
    <w:rsid w:val="67A74A3B"/>
    <w:rsid w:val="67D32538"/>
    <w:rsid w:val="67EA51D6"/>
    <w:rsid w:val="67F51C23"/>
    <w:rsid w:val="67FA1F90"/>
    <w:rsid w:val="68087D99"/>
    <w:rsid w:val="6815692A"/>
    <w:rsid w:val="681A66C3"/>
    <w:rsid w:val="682E5F4D"/>
    <w:rsid w:val="683B24C8"/>
    <w:rsid w:val="683F2910"/>
    <w:rsid w:val="6873723D"/>
    <w:rsid w:val="689006E2"/>
    <w:rsid w:val="689E2372"/>
    <w:rsid w:val="68B24635"/>
    <w:rsid w:val="68B73A0B"/>
    <w:rsid w:val="68C939DC"/>
    <w:rsid w:val="68CE05B3"/>
    <w:rsid w:val="68D32CC1"/>
    <w:rsid w:val="68EC2C5B"/>
    <w:rsid w:val="68F80E54"/>
    <w:rsid w:val="690126A6"/>
    <w:rsid w:val="6906204A"/>
    <w:rsid w:val="69515399"/>
    <w:rsid w:val="696A138C"/>
    <w:rsid w:val="698E7C85"/>
    <w:rsid w:val="69AF0FDA"/>
    <w:rsid w:val="69B074C3"/>
    <w:rsid w:val="69B44260"/>
    <w:rsid w:val="69CE7017"/>
    <w:rsid w:val="69F17A2E"/>
    <w:rsid w:val="6A202660"/>
    <w:rsid w:val="6A3A71B2"/>
    <w:rsid w:val="6A5D1F52"/>
    <w:rsid w:val="6A6B5AFA"/>
    <w:rsid w:val="6A920101"/>
    <w:rsid w:val="6AA141E6"/>
    <w:rsid w:val="6ABB36BA"/>
    <w:rsid w:val="6ADA5D26"/>
    <w:rsid w:val="6AF0570C"/>
    <w:rsid w:val="6B26035B"/>
    <w:rsid w:val="6B2B5737"/>
    <w:rsid w:val="6B314896"/>
    <w:rsid w:val="6B4A05E2"/>
    <w:rsid w:val="6B4F5235"/>
    <w:rsid w:val="6B542F27"/>
    <w:rsid w:val="6B566107"/>
    <w:rsid w:val="6B6C52E9"/>
    <w:rsid w:val="6B951B75"/>
    <w:rsid w:val="6BAE290B"/>
    <w:rsid w:val="6BD27FB5"/>
    <w:rsid w:val="6BEA2EB7"/>
    <w:rsid w:val="6C1B0A14"/>
    <w:rsid w:val="6C2F37FA"/>
    <w:rsid w:val="6C384A25"/>
    <w:rsid w:val="6C453031"/>
    <w:rsid w:val="6C842BC8"/>
    <w:rsid w:val="6CA7681F"/>
    <w:rsid w:val="6CAE52BC"/>
    <w:rsid w:val="6CBF7EBC"/>
    <w:rsid w:val="6CC53A2F"/>
    <w:rsid w:val="6CE26EA5"/>
    <w:rsid w:val="6CEB5DF8"/>
    <w:rsid w:val="6CEF77DA"/>
    <w:rsid w:val="6CF46E97"/>
    <w:rsid w:val="6CFE0495"/>
    <w:rsid w:val="6D017281"/>
    <w:rsid w:val="6D0A3F52"/>
    <w:rsid w:val="6D1867E5"/>
    <w:rsid w:val="6D1A6F3F"/>
    <w:rsid w:val="6D3F32D6"/>
    <w:rsid w:val="6D415C8A"/>
    <w:rsid w:val="6D48513C"/>
    <w:rsid w:val="6D5244CC"/>
    <w:rsid w:val="6D742268"/>
    <w:rsid w:val="6D8C63EB"/>
    <w:rsid w:val="6DD22F3C"/>
    <w:rsid w:val="6DD600FA"/>
    <w:rsid w:val="6DE27171"/>
    <w:rsid w:val="6DEB0DE7"/>
    <w:rsid w:val="6DF74BD3"/>
    <w:rsid w:val="6DF846B7"/>
    <w:rsid w:val="6E3A13A4"/>
    <w:rsid w:val="6E500605"/>
    <w:rsid w:val="6E510020"/>
    <w:rsid w:val="6E567A93"/>
    <w:rsid w:val="6E74174F"/>
    <w:rsid w:val="6E78363F"/>
    <w:rsid w:val="6E892C1B"/>
    <w:rsid w:val="6E8F2F91"/>
    <w:rsid w:val="6EAF4A08"/>
    <w:rsid w:val="6EC474FC"/>
    <w:rsid w:val="6EEB5E24"/>
    <w:rsid w:val="6EF14DC8"/>
    <w:rsid w:val="6F22773E"/>
    <w:rsid w:val="6F4B2ACD"/>
    <w:rsid w:val="6F4C16D3"/>
    <w:rsid w:val="6F4E2AF4"/>
    <w:rsid w:val="6F527449"/>
    <w:rsid w:val="6F5422DE"/>
    <w:rsid w:val="6F5666C0"/>
    <w:rsid w:val="6F6D29C1"/>
    <w:rsid w:val="6F72414D"/>
    <w:rsid w:val="6F860DC4"/>
    <w:rsid w:val="6F8915BE"/>
    <w:rsid w:val="6F9106FC"/>
    <w:rsid w:val="6F9F2A6D"/>
    <w:rsid w:val="6FA8443D"/>
    <w:rsid w:val="6FAB635C"/>
    <w:rsid w:val="6FAF5F1A"/>
    <w:rsid w:val="6FB0481E"/>
    <w:rsid w:val="6FCF7F12"/>
    <w:rsid w:val="6FD4104E"/>
    <w:rsid w:val="6FE26992"/>
    <w:rsid w:val="6FF22F71"/>
    <w:rsid w:val="6FF92E27"/>
    <w:rsid w:val="70046BAF"/>
    <w:rsid w:val="703053CF"/>
    <w:rsid w:val="7036413D"/>
    <w:rsid w:val="704372D8"/>
    <w:rsid w:val="705E5436"/>
    <w:rsid w:val="706840FC"/>
    <w:rsid w:val="70773F4B"/>
    <w:rsid w:val="7083794C"/>
    <w:rsid w:val="709D3CC6"/>
    <w:rsid w:val="709F2D56"/>
    <w:rsid w:val="70A36E7C"/>
    <w:rsid w:val="70C6726C"/>
    <w:rsid w:val="70C77A74"/>
    <w:rsid w:val="70C902A3"/>
    <w:rsid w:val="711F6792"/>
    <w:rsid w:val="71325FA0"/>
    <w:rsid w:val="714A2A58"/>
    <w:rsid w:val="716F2D1A"/>
    <w:rsid w:val="7179526C"/>
    <w:rsid w:val="718D7054"/>
    <w:rsid w:val="719518E0"/>
    <w:rsid w:val="719A0C14"/>
    <w:rsid w:val="71AD0CAB"/>
    <w:rsid w:val="71B3338E"/>
    <w:rsid w:val="71D36AB3"/>
    <w:rsid w:val="71DC66F2"/>
    <w:rsid w:val="71DF2383"/>
    <w:rsid w:val="721576FD"/>
    <w:rsid w:val="723C1D0A"/>
    <w:rsid w:val="723F4FD4"/>
    <w:rsid w:val="724E66A9"/>
    <w:rsid w:val="7256550A"/>
    <w:rsid w:val="7257523A"/>
    <w:rsid w:val="72A93608"/>
    <w:rsid w:val="72B522CF"/>
    <w:rsid w:val="72BD6CF7"/>
    <w:rsid w:val="72E26A54"/>
    <w:rsid w:val="72EB7597"/>
    <w:rsid w:val="72F01AA0"/>
    <w:rsid w:val="730215EA"/>
    <w:rsid w:val="73133B11"/>
    <w:rsid w:val="73297DEE"/>
    <w:rsid w:val="73357321"/>
    <w:rsid w:val="734C07A1"/>
    <w:rsid w:val="73610D25"/>
    <w:rsid w:val="7370240D"/>
    <w:rsid w:val="73717063"/>
    <w:rsid w:val="73793E12"/>
    <w:rsid w:val="73821775"/>
    <w:rsid w:val="73823B34"/>
    <w:rsid w:val="73AB778D"/>
    <w:rsid w:val="73AE21E7"/>
    <w:rsid w:val="73B820D3"/>
    <w:rsid w:val="73C72567"/>
    <w:rsid w:val="73E93C42"/>
    <w:rsid w:val="73E95836"/>
    <w:rsid w:val="74031020"/>
    <w:rsid w:val="740327EE"/>
    <w:rsid w:val="74232A92"/>
    <w:rsid w:val="742579A7"/>
    <w:rsid w:val="746E1370"/>
    <w:rsid w:val="747131CA"/>
    <w:rsid w:val="747219BF"/>
    <w:rsid w:val="748211DA"/>
    <w:rsid w:val="74BB1861"/>
    <w:rsid w:val="74C446FB"/>
    <w:rsid w:val="74D70242"/>
    <w:rsid w:val="74DA215A"/>
    <w:rsid w:val="74FC382F"/>
    <w:rsid w:val="75280653"/>
    <w:rsid w:val="752E4173"/>
    <w:rsid w:val="75487C6C"/>
    <w:rsid w:val="754A34F9"/>
    <w:rsid w:val="75741C59"/>
    <w:rsid w:val="75801475"/>
    <w:rsid w:val="75812F99"/>
    <w:rsid w:val="7586347A"/>
    <w:rsid w:val="7594790A"/>
    <w:rsid w:val="759C4EDF"/>
    <w:rsid w:val="75C638C6"/>
    <w:rsid w:val="75DE438D"/>
    <w:rsid w:val="75ED51B8"/>
    <w:rsid w:val="75FF031B"/>
    <w:rsid w:val="76120095"/>
    <w:rsid w:val="762347EE"/>
    <w:rsid w:val="7627176A"/>
    <w:rsid w:val="762E2A60"/>
    <w:rsid w:val="7683411C"/>
    <w:rsid w:val="76A43CF5"/>
    <w:rsid w:val="76B84C14"/>
    <w:rsid w:val="76C54EC6"/>
    <w:rsid w:val="77342DFD"/>
    <w:rsid w:val="77507485"/>
    <w:rsid w:val="77622922"/>
    <w:rsid w:val="77677EDD"/>
    <w:rsid w:val="777779B1"/>
    <w:rsid w:val="777F2233"/>
    <w:rsid w:val="77946C1F"/>
    <w:rsid w:val="779C7B79"/>
    <w:rsid w:val="77A60DEA"/>
    <w:rsid w:val="77C827AF"/>
    <w:rsid w:val="77CE6004"/>
    <w:rsid w:val="77E06CE5"/>
    <w:rsid w:val="77E4667C"/>
    <w:rsid w:val="77F33ECB"/>
    <w:rsid w:val="7802777D"/>
    <w:rsid w:val="78050244"/>
    <w:rsid w:val="78136085"/>
    <w:rsid w:val="781B12CE"/>
    <w:rsid w:val="781C501A"/>
    <w:rsid w:val="782D11B6"/>
    <w:rsid w:val="78576A82"/>
    <w:rsid w:val="786265D8"/>
    <w:rsid w:val="786B4624"/>
    <w:rsid w:val="78783598"/>
    <w:rsid w:val="78887554"/>
    <w:rsid w:val="788E66C0"/>
    <w:rsid w:val="789C3BE1"/>
    <w:rsid w:val="789E20B4"/>
    <w:rsid w:val="78D963F8"/>
    <w:rsid w:val="78E54534"/>
    <w:rsid w:val="78E67029"/>
    <w:rsid w:val="791A1A5B"/>
    <w:rsid w:val="792667D3"/>
    <w:rsid w:val="792F1309"/>
    <w:rsid w:val="7934177E"/>
    <w:rsid w:val="793B7587"/>
    <w:rsid w:val="793F23A5"/>
    <w:rsid w:val="79482F5A"/>
    <w:rsid w:val="79492221"/>
    <w:rsid w:val="79605668"/>
    <w:rsid w:val="796E1A86"/>
    <w:rsid w:val="79797F33"/>
    <w:rsid w:val="79802413"/>
    <w:rsid w:val="79942B61"/>
    <w:rsid w:val="79A13E7D"/>
    <w:rsid w:val="79F40EFE"/>
    <w:rsid w:val="7A1E5F3F"/>
    <w:rsid w:val="7A2D1881"/>
    <w:rsid w:val="7A7953ED"/>
    <w:rsid w:val="7A7E553F"/>
    <w:rsid w:val="7A831561"/>
    <w:rsid w:val="7A8A28F0"/>
    <w:rsid w:val="7A9B49D6"/>
    <w:rsid w:val="7A9B6FFE"/>
    <w:rsid w:val="7AA905F6"/>
    <w:rsid w:val="7ADB0F85"/>
    <w:rsid w:val="7ADE7BF0"/>
    <w:rsid w:val="7AE4526B"/>
    <w:rsid w:val="7AEE3452"/>
    <w:rsid w:val="7B053199"/>
    <w:rsid w:val="7B0E1240"/>
    <w:rsid w:val="7B0E2908"/>
    <w:rsid w:val="7B2F3497"/>
    <w:rsid w:val="7B360727"/>
    <w:rsid w:val="7B3E3C9A"/>
    <w:rsid w:val="7B4873A7"/>
    <w:rsid w:val="7B4D6DFF"/>
    <w:rsid w:val="7B4E64AD"/>
    <w:rsid w:val="7B782074"/>
    <w:rsid w:val="7BB9557B"/>
    <w:rsid w:val="7BE42FDC"/>
    <w:rsid w:val="7BFF37C1"/>
    <w:rsid w:val="7C0D1287"/>
    <w:rsid w:val="7C1201D3"/>
    <w:rsid w:val="7C2C3318"/>
    <w:rsid w:val="7C372603"/>
    <w:rsid w:val="7C3A3B17"/>
    <w:rsid w:val="7C467B6E"/>
    <w:rsid w:val="7C48537E"/>
    <w:rsid w:val="7C5A0314"/>
    <w:rsid w:val="7C5A65BC"/>
    <w:rsid w:val="7CA37F34"/>
    <w:rsid w:val="7CAA6631"/>
    <w:rsid w:val="7CAC0E45"/>
    <w:rsid w:val="7CBD0E81"/>
    <w:rsid w:val="7CF072E8"/>
    <w:rsid w:val="7D0B1CAC"/>
    <w:rsid w:val="7D5355F0"/>
    <w:rsid w:val="7D814DAB"/>
    <w:rsid w:val="7D9809CF"/>
    <w:rsid w:val="7DC344C9"/>
    <w:rsid w:val="7DCA1810"/>
    <w:rsid w:val="7DD4179D"/>
    <w:rsid w:val="7DDD0815"/>
    <w:rsid w:val="7E025D3A"/>
    <w:rsid w:val="7E1710DA"/>
    <w:rsid w:val="7E1E39FD"/>
    <w:rsid w:val="7E2A039E"/>
    <w:rsid w:val="7E573F91"/>
    <w:rsid w:val="7EBF34AA"/>
    <w:rsid w:val="7EC82F5B"/>
    <w:rsid w:val="7EF81D2B"/>
    <w:rsid w:val="7F0E4E3E"/>
    <w:rsid w:val="7F200C0A"/>
    <w:rsid w:val="7F2F001D"/>
    <w:rsid w:val="7F477001"/>
    <w:rsid w:val="7F687F81"/>
    <w:rsid w:val="7FA734E3"/>
    <w:rsid w:val="7FE73DBC"/>
    <w:rsid w:val="7FF12C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24"/>
    <w:qFormat/>
    <w:uiPriority w:val="9"/>
    <w:pPr>
      <w:keepNext/>
      <w:keepLines/>
      <w:spacing w:line="360" w:lineRule="auto"/>
      <w:jc w:val="left"/>
      <w:outlineLvl w:val="0"/>
    </w:pPr>
    <w:rPr>
      <w:b/>
      <w:bCs/>
      <w:kern w:val="44"/>
      <w:sz w:val="20"/>
      <w:szCs w:val="44"/>
    </w:rPr>
  </w:style>
  <w:style w:type="paragraph" w:styleId="4">
    <w:name w:val="heading 2"/>
    <w:basedOn w:val="1"/>
    <w:next w:val="1"/>
    <w:link w:val="25"/>
    <w:qFormat/>
    <w:uiPriority w:val="0"/>
    <w:pPr>
      <w:keepNext/>
      <w:keepLines/>
      <w:spacing w:line="413" w:lineRule="auto"/>
      <w:outlineLvl w:val="1"/>
    </w:pPr>
    <w:rPr>
      <w:rFonts w:ascii="Arial" w:hAnsi="Arial" w:eastAsia="黑体"/>
      <w:b/>
      <w:kern w:val="0"/>
      <w:sz w:val="32"/>
      <w:szCs w:val="20"/>
    </w:rPr>
  </w:style>
  <w:style w:type="paragraph" w:styleId="5">
    <w:name w:val="heading 3"/>
    <w:basedOn w:val="2"/>
    <w:next w:val="2"/>
    <w:qFormat/>
    <w:uiPriority w:val="0"/>
    <w:pPr>
      <w:keepNext/>
      <w:keepLines/>
      <w:outlineLvl w:val="2"/>
    </w:pPr>
    <w:rPr>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3"/>
    <w:qFormat/>
    <w:uiPriority w:val="0"/>
    <w:pPr>
      <w:spacing w:line="360" w:lineRule="auto"/>
      <w:ind w:firstLine="1440" w:firstLineChars="200"/>
    </w:pPr>
    <w:rPr>
      <w:rFonts w:eastAsia="Arial"/>
    </w:rPr>
  </w:style>
  <w:style w:type="paragraph" w:styleId="6">
    <w:name w:val="Normal Indent"/>
    <w:basedOn w:val="1"/>
    <w:qFormat/>
    <w:uiPriority w:val="0"/>
    <w:pPr>
      <w:ind w:firstLine="200"/>
    </w:pPr>
    <w:rPr>
      <w:rFonts w:ascii="仿宋_GB2312" w:hAnsi="仿宋_GB2312" w:eastAsia="仿宋_GB2312"/>
    </w:rPr>
  </w:style>
  <w:style w:type="paragraph" w:styleId="7">
    <w:name w:val="caption"/>
    <w:basedOn w:val="1"/>
    <w:next w:val="1"/>
    <w:qFormat/>
    <w:uiPriority w:val="0"/>
    <w:rPr>
      <w:rFonts w:ascii="黑体" w:hAnsi="黑体" w:eastAsia="黑体"/>
    </w:rPr>
  </w:style>
  <w:style w:type="paragraph" w:styleId="8">
    <w:name w:val="toa heading"/>
    <w:basedOn w:val="1"/>
    <w:next w:val="1"/>
    <w:qFormat/>
    <w:uiPriority w:val="0"/>
    <w:rPr>
      <w:rFonts w:ascii="Arial" w:hAnsi="Arial"/>
    </w:rPr>
  </w:style>
  <w:style w:type="paragraph" w:styleId="9">
    <w:name w:val="annotation text"/>
    <w:basedOn w:val="1"/>
    <w:link w:val="26"/>
    <w:qFormat/>
    <w:uiPriority w:val="0"/>
    <w:pPr>
      <w:jc w:val="left"/>
    </w:pPr>
  </w:style>
  <w:style w:type="paragraph" w:styleId="10">
    <w:name w:val="Balloon Text"/>
    <w:basedOn w:val="1"/>
    <w:link w:val="27"/>
    <w:qFormat/>
    <w:uiPriority w:val="0"/>
    <w:rPr>
      <w:sz w:val="18"/>
      <w:szCs w:val="18"/>
    </w:rPr>
  </w:style>
  <w:style w:type="paragraph" w:styleId="11">
    <w:name w:val="footer"/>
    <w:basedOn w:val="1"/>
    <w:next w:val="1"/>
    <w:qFormat/>
    <w:uiPriority w:val="0"/>
    <w:pPr>
      <w:tabs>
        <w:tab w:val="center" w:pos="4153"/>
        <w:tab w:val="right" w:pos="8306"/>
      </w:tabs>
      <w:snapToGrid w:val="0"/>
      <w:jc w:val="left"/>
    </w:pPr>
    <w:rPr>
      <w:sz w:val="18"/>
      <w:szCs w:val="18"/>
    </w:rPr>
  </w:style>
  <w:style w:type="paragraph" w:styleId="12">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Indent 3"/>
    <w:basedOn w:val="1"/>
    <w:qFormat/>
    <w:uiPriority w:val="0"/>
    <w:pPr>
      <w:spacing w:after="120"/>
      <w:ind w:left="420" w:leftChars="200"/>
    </w:pPr>
    <w:rPr>
      <w:rFonts w:ascii="宋体"/>
      <w:sz w:val="16"/>
      <w:szCs w:val="16"/>
    </w:rPr>
  </w:style>
  <w:style w:type="paragraph" w:styleId="14">
    <w:name w:val="Normal (Web)"/>
    <w:basedOn w:val="1"/>
    <w:qFormat/>
    <w:uiPriority w:val="0"/>
    <w:pPr>
      <w:spacing w:beforeAutospacing="1" w:afterAutospacing="1"/>
      <w:jc w:val="left"/>
    </w:pPr>
    <w:rPr>
      <w:kern w:val="0"/>
    </w:rPr>
  </w:style>
  <w:style w:type="paragraph" w:styleId="15">
    <w:name w:val="annotation subject"/>
    <w:basedOn w:val="9"/>
    <w:next w:val="9"/>
    <w:link w:val="29"/>
    <w:qFormat/>
    <w:uiPriority w:val="0"/>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0"/>
    <w:rPr>
      <w:b/>
    </w:rPr>
  </w:style>
  <w:style w:type="character" w:styleId="20">
    <w:name w:val="page number"/>
    <w:qFormat/>
    <w:uiPriority w:val="0"/>
  </w:style>
  <w:style w:type="character" w:styleId="21">
    <w:name w:val="Emphasis"/>
    <w:qFormat/>
    <w:uiPriority w:val="0"/>
    <w:rPr>
      <w:i/>
      <w:iCs/>
    </w:rPr>
  </w:style>
  <w:style w:type="character" w:styleId="22">
    <w:name w:val="annotation reference"/>
    <w:qFormat/>
    <w:uiPriority w:val="0"/>
    <w:rPr>
      <w:sz w:val="21"/>
      <w:szCs w:val="21"/>
    </w:rPr>
  </w:style>
  <w:style w:type="character" w:customStyle="1" w:styleId="23">
    <w:name w:val="正文文本 字符"/>
    <w:link w:val="2"/>
    <w:qFormat/>
    <w:uiPriority w:val="0"/>
    <w:rPr>
      <w:rFonts w:ascii="Times New Roman" w:hAnsi="Times New Roman" w:eastAsia="Arial"/>
      <w:kern w:val="2"/>
      <w:sz w:val="24"/>
      <w:szCs w:val="24"/>
    </w:rPr>
  </w:style>
  <w:style w:type="character" w:customStyle="1" w:styleId="24">
    <w:name w:val="标题 1 字符"/>
    <w:link w:val="3"/>
    <w:qFormat/>
    <w:uiPriority w:val="9"/>
    <w:rPr>
      <w:rFonts w:eastAsia="宋体"/>
      <w:b/>
      <w:bCs/>
      <w:kern w:val="44"/>
      <w:szCs w:val="44"/>
    </w:rPr>
  </w:style>
  <w:style w:type="character" w:customStyle="1" w:styleId="25">
    <w:name w:val="标题 2 字符"/>
    <w:link w:val="4"/>
    <w:qFormat/>
    <w:uiPriority w:val="0"/>
    <w:rPr>
      <w:rFonts w:ascii="Arial" w:hAnsi="Arial" w:eastAsia="黑体"/>
      <w:b/>
      <w:sz w:val="32"/>
    </w:rPr>
  </w:style>
  <w:style w:type="character" w:customStyle="1" w:styleId="26">
    <w:name w:val="批注文字 字符"/>
    <w:link w:val="9"/>
    <w:qFormat/>
    <w:uiPriority w:val="0"/>
    <w:rPr>
      <w:rFonts w:ascii="Times New Roman" w:hAnsi="Times New Roman"/>
      <w:kern w:val="2"/>
      <w:sz w:val="24"/>
      <w:szCs w:val="24"/>
    </w:rPr>
  </w:style>
  <w:style w:type="character" w:customStyle="1" w:styleId="27">
    <w:name w:val="批注框文本 字符"/>
    <w:link w:val="10"/>
    <w:qFormat/>
    <w:uiPriority w:val="0"/>
    <w:rPr>
      <w:rFonts w:ascii="Times New Roman" w:hAnsi="Times New Roman"/>
      <w:kern w:val="2"/>
      <w:sz w:val="18"/>
      <w:szCs w:val="18"/>
    </w:rPr>
  </w:style>
  <w:style w:type="character" w:customStyle="1" w:styleId="28">
    <w:name w:val="页眉 字符"/>
    <w:link w:val="12"/>
    <w:qFormat/>
    <w:uiPriority w:val="0"/>
    <w:rPr>
      <w:rFonts w:ascii="Times New Roman" w:hAnsi="Times New Roman"/>
      <w:kern w:val="2"/>
      <w:sz w:val="18"/>
      <w:szCs w:val="18"/>
    </w:rPr>
  </w:style>
  <w:style w:type="character" w:customStyle="1" w:styleId="29">
    <w:name w:val="批注主题 字符"/>
    <w:link w:val="15"/>
    <w:qFormat/>
    <w:uiPriority w:val="0"/>
    <w:rPr>
      <w:rFonts w:ascii="Times New Roman" w:hAnsi="Times New Roman"/>
      <w:b/>
      <w:bCs/>
      <w:kern w:val="2"/>
      <w:sz w:val="24"/>
      <w:szCs w:val="24"/>
    </w:rPr>
  </w:style>
  <w:style w:type="character" w:customStyle="1" w:styleId="30">
    <w:name w:val="apple-converted-space"/>
    <w:qFormat/>
    <w:uiPriority w:val="0"/>
  </w:style>
  <w:style w:type="character" w:customStyle="1" w:styleId="31">
    <w:name w:val="font01"/>
    <w:qFormat/>
    <w:uiPriority w:val="0"/>
    <w:rPr>
      <w:rFonts w:hint="eastAsia" w:ascii="宋体" w:hAnsi="宋体" w:eastAsia="宋体" w:cs="宋体"/>
      <w:color w:val="000000"/>
      <w:sz w:val="21"/>
      <w:szCs w:val="21"/>
      <w:u w:val="none"/>
    </w:rPr>
  </w:style>
  <w:style w:type="character" w:customStyle="1" w:styleId="32">
    <w:name w:val="font11"/>
    <w:qFormat/>
    <w:uiPriority w:val="0"/>
    <w:rPr>
      <w:rFonts w:hint="eastAsia" w:ascii="仿宋" w:hAnsi="仿宋" w:eastAsia="仿宋" w:cs="仿宋"/>
      <w:color w:val="000000"/>
      <w:sz w:val="24"/>
      <w:szCs w:val="24"/>
      <w:u w:val="none"/>
    </w:rPr>
  </w:style>
  <w:style w:type="character" w:customStyle="1" w:styleId="33">
    <w:name w:val="font21"/>
    <w:qFormat/>
    <w:uiPriority w:val="0"/>
    <w:rPr>
      <w:rFonts w:hint="eastAsia" w:ascii="仿宋" w:hAnsi="仿宋" w:eastAsia="仿宋" w:cs="仿宋"/>
      <w:color w:val="000000"/>
      <w:sz w:val="24"/>
      <w:szCs w:val="24"/>
      <w:u w:val="none"/>
    </w:rPr>
  </w:style>
  <w:style w:type="character" w:customStyle="1" w:styleId="34">
    <w:name w:val="批注文字 Char1"/>
    <w:semiHidden/>
    <w:qFormat/>
    <w:locked/>
    <w:uiPriority w:val="0"/>
    <w:rPr>
      <w:kern w:val="2"/>
      <w:sz w:val="24"/>
      <w:szCs w:val="24"/>
    </w:rPr>
  </w:style>
  <w:style w:type="character" w:customStyle="1" w:styleId="35">
    <w:name w:val="15"/>
    <w:qFormat/>
    <w:uiPriority w:val="0"/>
    <w:rPr>
      <w:rFonts w:hint="default" w:ascii="Times New Roman" w:hAnsi="Times New Roman" w:eastAsia="宋体" w:cs="Times New Roman"/>
      <w:b/>
      <w:bCs/>
      <w:kern w:val="44"/>
    </w:rPr>
  </w:style>
  <w:style w:type="character" w:styleId="36">
    <w:name w:val="Placeholder Text"/>
    <w:unhideWhenUsed/>
    <w:qFormat/>
    <w:uiPriority w:val="99"/>
    <w:rPr>
      <w:color w:val="808080"/>
    </w:rPr>
  </w:style>
  <w:style w:type="character" w:customStyle="1" w:styleId="37">
    <w:name w:val="正文文本 Char1"/>
    <w:semiHidden/>
    <w:qFormat/>
    <w:locked/>
    <w:uiPriority w:val="0"/>
    <w:rPr>
      <w:kern w:val="2"/>
      <w:sz w:val="24"/>
      <w:szCs w:val="24"/>
    </w:rPr>
  </w:style>
  <w:style w:type="paragraph" w:customStyle="1" w:styleId="38">
    <w:name w:val="列出段落1"/>
    <w:basedOn w:val="1"/>
    <w:unhideWhenUsed/>
    <w:qFormat/>
    <w:uiPriority w:val="99"/>
    <w:pPr>
      <w:ind w:firstLine="420" w:firstLineChars="200"/>
    </w:pPr>
  </w:style>
  <w:style w:type="paragraph" w:customStyle="1" w:styleId="39">
    <w:name w:val="修订1"/>
    <w:unhideWhenUsed/>
    <w:qFormat/>
    <w:uiPriority w:val="99"/>
    <w:rPr>
      <w:rFonts w:ascii="Times New Roman" w:hAnsi="Times New Roman" w:eastAsia="宋体" w:cs="Times New Roman"/>
      <w:kern w:val="2"/>
      <w:sz w:val="24"/>
      <w:szCs w:val="24"/>
      <w:lang w:val="en-US" w:eastAsia="zh-CN" w:bidi="ar-SA"/>
    </w:rPr>
  </w:style>
  <w:style w:type="paragraph" w:styleId="40">
    <w:name w:val="List Paragraph"/>
    <w:basedOn w:val="1"/>
    <w:qFormat/>
    <w:uiPriority w:val="34"/>
    <w:pPr>
      <w:ind w:firstLine="420" w:firstLineChars="200"/>
    </w:pPr>
  </w:style>
  <w:style w:type="paragraph" w:customStyle="1" w:styleId="41">
    <w:name w:val="Table Paragraph"/>
    <w:basedOn w:val="1"/>
    <w:qFormat/>
    <w:uiPriority w:val="1"/>
  </w:style>
  <w:style w:type="paragraph" w:customStyle="1" w:styleId="42">
    <w:name w:val="Char1 Char Char Char Char Char Char"/>
    <w:basedOn w:val="1"/>
    <w:qFormat/>
    <w:uiPriority w:val="0"/>
  </w:style>
  <w:style w:type="paragraph" w:customStyle="1" w:styleId="43">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rPr>
  </w:style>
  <w:style w:type="paragraph" w:customStyle="1" w:styleId="44">
    <w:name w:val="Revision"/>
    <w:unhideWhenUsed/>
    <w:qFormat/>
    <w:uiPriority w:val="99"/>
    <w:rPr>
      <w:rFonts w:ascii="Times New Roman" w:hAnsi="Times New Roman" w:eastAsia="宋体" w:cs="Times New Roman"/>
      <w:kern w:val="2"/>
      <w:sz w:val="24"/>
      <w:szCs w:val="24"/>
      <w:lang w:val="en-US" w:eastAsia="zh-CN" w:bidi="ar-SA"/>
    </w:rPr>
  </w:style>
  <w:style w:type="paragraph" w:customStyle="1" w:styleId="4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6">
    <w:name w:val="表题"/>
    <w:basedOn w:val="1"/>
    <w:next w:val="1"/>
    <w:link w:val="54"/>
    <w:qFormat/>
    <w:uiPriority w:val="0"/>
    <w:pPr>
      <w:spacing w:before="120" w:line="360" w:lineRule="auto"/>
      <w:jc w:val="center"/>
    </w:pPr>
    <w:rPr>
      <w:rFonts w:hAnsi="黑体" w:eastAsia="黑体"/>
      <w:bCs/>
    </w:rPr>
  </w:style>
  <w:style w:type="paragraph" w:customStyle="1" w:styleId="47">
    <w:name w:val="表头图名"/>
    <w:basedOn w:val="1"/>
    <w:next w:val="2"/>
    <w:qFormat/>
    <w:uiPriority w:val="0"/>
    <w:pPr>
      <w:spacing w:line="360" w:lineRule="auto"/>
      <w:jc w:val="center"/>
    </w:pPr>
    <w:rPr>
      <w:b/>
      <w:sz w:val="21"/>
    </w:rPr>
  </w:style>
  <w:style w:type="paragraph" w:customStyle="1" w:styleId="48">
    <w:name w:val="WPSOffice手动目录 1"/>
    <w:qFormat/>
    <w:uiPriority w:val="0"/>
    <w:rPr>
      <w:rFonts w:ascii="Times New Roman" w:hAnsi="Times New Roman" w:eastAsia="宋体" w:cs="Times New Roman"/>
      <w:lang w:val="en-US" w:eastAsia="zh-CN" w:bidi="ar-SA"/>
    </w:rPr>
  </w:style>
  <w:style w:type="table" w:customStyle="1" w:styleId="49">
    <w:name w:val="Table Normal"/>
    <w:unhideWhenUsed/>
    <w:qFormat/>
    <w:uiPriority w:val="0"/>
    <w:tblPr>
      <w:tblCellMar>
        <w:top w:w="0" w:type="dxa"/>
        <w:left w:w="0" w:type="dxa"/>
        <w:bottom w:w="0" w:type="dxa"/>
        <w:right w:w="0" w:type="dxa"/>
      </w:tblCellMar>
    </w:tblPr>
  </w:style>
  <w:style w:type="character" w:customStyle="1" w:styleId="50">
    <w:name w:val="font31"/>
    <w:qFormat/>
    <w:uiPriority w:val="0"/>
    <w:rPr>
      <w:rFonts w:hint="default" w:ascii="Times New Roman" w:hAnsi="Times New Roman" w:cs="Times New Roman"/>
      <w:color w:val="000000"/>
      <w:sz w:val="21"/>
      <w:szCs w:val="21"/>
      <w:u w:val="none"/>
    </w:rPr>
  </w:style>
  <w:style w:type="paragraph" w:customStyle="1" w:styleId="51">
    <w:name w:val="表格内容"/>
    <w:next w:val="1"/>
    <w:link w:val="52"/>
    <w:qFormat/>
    <w:uiPriority w:val="1"/>
    <w:pPr>
      <w:widowControl w:val="0"/>
      <w:jc w:val="center"/>
    </w:pPr>
    <w:rPr>
      <w:rFonts w:ascii="Times New Roman" w:hAnsi="Times New Roman" w:eastAsia="宋体" w:cs="Times New Roman"/>
      <w:kern w:val="2"/>
      <w:sz w:val="21"/>
      <w:szCs w:val="24"/>
      <w:lang w:val="en-US" w:eastAsia="zh-CN" w:bidi="ar-SA"/>
    </w:rPr>
  </w:style>
  <w:style w:type="character" w:customStyle="1" w:styleId="52">
    <w:name w:val="表格内容 Char"/>
    <w:link w:val="51"/>
    <w:qFormat/>
    <w:uiPriority w:val="1"/>
    <w:rPr>
      <w:kern w:val="2"/>
      <w:sz w:val="21"/>
      <w:szCs w:val="24"/>
    </w:rPr>
  </w:style>
  <w:style w:type="paragraph" w:customStyle="1" w:styleId="53">
    <w:name w:val="p17"/>
    <w:basedOn w:val="1"/>
    <w:qFormat/>
    <w:uiPriority w:val="0"/>
    <w:pPr>
      <w:widowControl/>
      <w:spacing w:line="300" w:lineRule="atLeast"/>
      <w:jc w:val="center"/>
    </w:pPr>
    <w:rPr>
      <w:spacing w:val="-10"/>
      <w:kern w:val="0"/>
      <w:sz w:val="21"/>
      <w:szCs w:val="21"/>
    </w:rPr>
  </w:style>
  <w:style w:type="character" w:customStyle="1" w:styleId="54">
    <w:name w:val="表题 字符"/>
    <w:link w:val="46"/>
    <w:qFormat/>
    <w:uiPriority w:val="0"/>
    <w:rPr>
      <w:rFonts w:hAnsi="黑体" w:eastAsia="黑体"/>
      <w:bCs/>
      <w:kern w:val="2"/>
      <w:sz w:val="24"/>
      <w:szCs w:val="24"/>
    </w:rPr>
  </w:style>
  <w:style w:type="paragraph" w:customStyle="1" w:styleId="55">
    <w:name w:val="表文字-1"/>
    <w:basedOn w:val="1"/>
    <w:qFormat/>
    <w:uiPriority w:val="0"/>
    <w:pPr>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Microsoft_Visio_2003-2010___1.vsd"/><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532C05-8122-4708-93FF-BC6637ED59A1}">
  <ds:schemaRefs/>
</ds:datastoreItem>
</file>

<file path=docProps/app.xml><?xml version="1.0" encoding="utf-8"?>
<Properties xmlns="http://schemas.openxmlformats.org/officeDocument/2006/extended-properties" xmlns:vt="http://schemas.openxmlformats.org/officeDocument/2006/docPropsVTypes">
  <Template>Normal</Template>
  <Pages>77</Pages>
  <Words>36913</Words>
  <Characters>42633</Characters>
  <Lines>332</Lines>
  <Paragraphs>93</Paragraphs>
  <TotalTime>0</TotalTime>
  <ScaleCrop>false</ScaleCrop>
  <LinksUpToDate>false</LinksUpToDate>
  <CharactersWithSpaces>43472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2022-07-13T13:22:00Z</dcterms:created>
  <dc:creator>Administrator</dc:creator>
  <cp:lastModifiedBy>Administrator</cp:lastModifiedBy>
  <cp:lastPrinted>2023-07-31T09:06:00Z</cp:lastPrinted>
  <dcterms:modified xsi:type="dcterms:W3CDTF">2023-08-04T07:34:23Z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F5C2856197F94D37B7B52AE58B2906B4_13</vt:lpwstr>
  </property>
</Properties>
</file>